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27D31" w14:textId="77777777" w:rsidR="008E5828" w:rsidRPr="00CA076C" w:rsidRDefault="00563E98" w:rsidP="00563E98">
      <w:pPr>
        <w:pStyle w:val="Titel"/>
      </w:pPr>
      <w:bookmarkStart w:id="0" w:name="_GoBack"/>
      <w:bookmarkEnd w:id="0"/>
      <w:r w:rsidRPr="00CA076C">
        <w:t xml:space="preserve">Sicherheit personenbezogener Daten: Umgang mit </w:t>
      </w:r>
      <w:r w:rsidR="00FD56B2" w:rsidRPr="00CA076C">
        <w:t>Art. </w:t>
      </w:r>
      <w:r w:rsidR="000777AD" w:rsidRPr="00CA076C">
        <w:t xml:space="preserve">32 </w:t>
      </w:r>
      <w:r w:rsidRPr="00CA076C">
        <w:t>DS-GVO</w:t>
      </w:r>
    </w:p>
    <w:p w14:paraId="7A798D13" w14:textId="77777777" w:rsidR="00AA22BD" w:rsidRPr="00CA076C" w:rsidRDefault="00AA22BD" w:rsidP="00AA22BD">
      <w:pPr>
        <w:rPr>
          <w:rFonts w:cs="Arial"/>
          <w:szCs w:val="28"/>
        </w:rPr>
      </w:pPr>
      <w:bookmarkStart w:id="1" w:name="_Toc451508386"/>
    </w:p>
    <w:p w14:paraId="24260EA9" w14:textId="77777777" w:rsidR="00AA22BD" w:rsidRPr="00CA076C" w:rsidRDefault="00AA22BD" w:rsidP="00AA22BD">
      <w:pPr>
        <w:rPr>
          <w:rFonts w:cs="Arial"/>
          <w:szCs w:val="28"/>
        </w:rPr>
      </w:pPr>
      <w:r w:rsidRPr="00CA076C">
        <w:rPr>
          <w:rFonts w:cs="Arial"/>
          <w:szCs w:val="28"/>
        </w:rPr>
        <w:t>Eine Zusammenarbeit von</w:t>
      </w:r>
    </w:p>
    <w:p w14:paraId="630D2D81" w14:textId="77777777" w:rsidR="00AA22BD" w:rsidRPr="00CA076C" w:rsidRDefault="00AA22BD" w:rsidP="00AA22BD">
      <w:pPr>
        <w:rPr>
          <w:rFonts w:cs="Arial"/>
          <w:szCs w:val="28"/>
        </w:rPr>
      </w:pPr>
      <w:r w:rsidRPr="00CA076C">
        <w:rPr>
          <w:noProof/>
          <w:lang w:eastAsia="de-DE"/>
        </w:rPr>
        <w:drawing>
          <wp:anchor distT="0" distB="0" distL="114300" distR="114300" simplePos="0" relativeHeight="251657216" behindDoc="0" locked="0" layoutInCell="1" allowOverlap="1" wp14:anchorId="53E5D611" wp14:editId="33521E65">
            <wp:simplePos x="0" y="0"/>
            <wp:positionH relativeFrom="column">
              <wp:posOffset>4435475</wp:posOffset>
            </wp:positionH>
            <wp:positionV relativeFrom="paragraph">
              <wp:posOffset>221615</wp:posOffset>
            </wp:positionV>
            <wp:extent cx="1622425" cy="55308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9">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1622425"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1AEB1" w14:textId="1A570511" w:rsidR="00AA22BD" w:rsidRPr="00CA076C" w:rsidRDefault="00AA22BD" w:rsidP="00B71BCA">
      <w:pPr>
        <w:jc w:val="left"/>
        <w:rPr>
          <w:rFonts w:cs="Arial"/>
          <w:szCs w:val="28"/>
        </w:rPr>
      </w:pPr>
      <w:r w:rsidRPr="00CA076C">
        <w:rPr>
          <w:rFonts w:cs="Arial"/>
          <w:szCs w:val="28"/>
        </w:rPr>
        <w:t>Bundesverband Gesundheits-IT e. V.</w:t>
      </w:r>
      <w:r w:rsidR="00B71BCA">
        <w:rPr>
          <w:rFonts w:cs="Arial"/>
          <w:noProof/>
          <w:szCs w:val="28"/>
        </w:rPr>
        <w:br/>
      </w:r>
      <w:r w:rsidR="00B71BCA" w:rsidRPr="00B71BCA">
        <w:rPr>
          <w:rFonts w:cs="Arial"/>
          <w:szCs w:val="28"/>
        </w:rPr>
        <w:t>Arbeitsgruppe Datenschutz &amp; IT-Sicherheit</w:t>
      </w:r>
    </w:p>
    <w:p w14:paraId="1FF790F9" w14:textId="77777777" w:rsidR="00AA22BD" w:rsidRPr="00CA076C" w:rsidRDefault="00AA22BD" w:rsidP="00AA22BD">
      <w:pPr>
        <w:rPr>
          <w:rFonts w:cs="Arial"/>
          <w:szCs w:val="28"/>
        </w:rPr>
      </w:pPr>
    </w:p>
    <w:p w14:paraId="77815DAC" w14:textId="77777777" w:rsidR="00AA22BD" w:rsidRPr="00CA076C" w:rsidRDefault="00AA22BD" w:rsidP="00AA22BD">
      <w:pPr>
        <w:rPr>
          <w:rFonts w:cs="Arial"/>
          <w:szCs w:val="28"/>
        </w:rPr>
      </w:pPr>
      <w:r w:rsidRPr="00CA076C">
        <w:rPr>
          <w:noProof/>
          <w:lang w:eastAsia="de-DE"/>
        </w:rPr>
        <w:drawing>
          <wp:anchor distT="0" distB="0" distL="114300" distR="114300" simplePos="0" relativeHeight="251659264" behindDoc="0" locked="0" layoutInCell="1" allowOverlap="1" wp14:anchorId="7064E8D2" wp14:editId="6A44C236">
            <wp:simplePos x="0" y="0"/>
            <wp:positionH relativeFrom="column">
              <wp:posOffset>4591050</wp:posOffset>
            </wp:positionH>
            <wp:positionV relativeFrom="paragraph">
              <wp:posOffset>66040</wp:posOffset>
            </wp:positionV>
            <wp:extent cx="1485900" cy="734695"/>
            <wp:effectExtent l="0" t="0" r="0" b="825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9AC4F" w14:textId="00D328AC" w:rsidR="00AA22BD" w:rsidRPr="00D07789" w:rsidRDefault="00AA22BD" w:rsidP="00B71BCA">
      <w:pPr>
        <w:jc w:val="left"/>
        <w:rPr>
          <w:rFonts w:cs="Arial"/>
          <w:szCs w:val="28"/>
        </w:rPr>
      </w:pPr>
      <w:r w:rsidRPr="00D07789">
        <w:rPr>
          <w:rFonts w:cs="Arial"/>
          <w:szCs w:val="28"/>
        </w:rPr>
        <w:t>Deutsche Gesellschaft für Medizinische Informatik, Biometrie und Epidemiologie e. V.</w:t>
      </w:r>
      <w:r w:rsidR="00B71BCA">
        <w:rPr>
          <w:rFonts w:cs="Arial"/>
          <w:szCs w:val="28"/>
        </w:rPr>
        <w:br/>
      </w:r>
      <w:r w:rsidRPr="00D07789">
        <w:rPr>
          <w:rFonts w:cs="Arial"/>
          <w:szCs w:val="28"/>
        </w:rPr>
        <w:t>Arbeits</w:t>
      </w:r>
      <w:r w:rsidR="004945D8" w:rsidRPr="00D07789">
        <w:rPr>
          <w:rFonts w:cs="Arial"/>
          <w:szCs w:val="28"/>
        </w:rPr>
        <w:t>gruppe</w:t>
      </w:r>
      <w:r w:rsidRPr="00D07789">
        <w:rPr>
          <w:rFonts w:cs="Arial"/>
          <w:szCs w:val="28"/>
        </w:rPr>
        <w:t xml:space="preserve"> „Datenschutz und IT-Sicherheit im Gesundheitswesen“</w:t>
      </w:r>
    </w:p>
    <w:p w14:paraId="440451A1" w14:textId="77777777" w:rsidR="00AA22BD" w:rsidRPr="00D07789" w:rsidRDefault="00AA22BD" w:rsidP="00AA22BD">
      <w:pPr>
        <w:rPr>
          <w:rFonts w:cs="Arial"/>
          <w:szCs w:val="28"/>
        </w:rPr>
      </w:pPr>
    </w:p>
    <w:p w14:paraId="74BC5BEF" w14:textId="77777777" w:rsidR="00AA22BD" w:rsidRPr="007472EE" w:rsidRDefault="00AA22BD" w:rsidP="00AA22BD">
      <w:pPr>
        <w:spacing w:before="40" w:after="80"/>
        <w:rPr>
          <w:rFonts w:cs="Arial"/>
          <w:b/>
          <w:sz w:val="36"/>
          <w:szCs w:val="36"/>
        </w:rPr>
      </w:pPr>
    </w:p>
    <w:p w14:paraId="791FE6D8" w14:textId="77777777" w:rsidR="00D2731D" w:rsidRPr="007472EE" w:rsidRDefault="00D2731D" w:rsidP="00D2731D">
      <w:pPr>
        <w:rPr>
          <w:b/>
          <w:sz w:val="28"/>
          <w:szCs w:val="28"/>
        </w:rPr>
      </w:pPr>
      <w:r w:rsidRPr="007472EE">
        <w:rPr>
          <w:b/>
          <w:sz w:val="28"/>
          <w:szCs w:val="28"/>
        </w:rPr>
        <w:t>Autoren</w:t>
      </w:r>
      <w:bookmarkEnd w:id="1"/>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AA22BD" w:rsidRPr="007472EE" w14:paraId="1D4749D8" w14:textId="77777777" w:rsidTr="00C55D2B">
        <w:tc>
          <w:tcPr>
            <w:tcW w:w="2518" w:type="dxa"/>
          </w:tcPr>
          <w:p w14:paraId="57E7D298" w14:textId="2C8A57D8" w:rsidR="00AA22BD" w:rsidRPr="007472EE" w:rsidRDefault="00597483" w:rsidP="00C55D2B">
            <w:pPr>
              <w:rPr>
                <w:rFonts w:ascii="Tele-GroteskNor" w:hAnsi="Tele-GroteskNor"/>
              </w:rPr>
            </w:pPr>
            <w:r>
              <w:rPr>
                <w:rFonts w:ascii="Tele-GroteskNor" w:hAnsi="Tele-GroteskNor"/>
              </w:rPr>
              <w:t>Christoph Isele</w:t>
            </w:r>
          </w:p>
        </w:tc>
        <w:tc>
          <w:tcPr>
            <w:tcW w:w="6694" w:type="dxa"/>
          </w:tcPr>
          <w:p w14:paraId="7387013C" w14:textId="77777777" w:rsidR="00AA22BD" w:rsidRPr="007472EE" w:rsidRDefault="00AA22BD" w:rsidP="00C55D2B">
            <w:r w:rsidRPr="00597483">
              <w:rPr>
                <w:rFonts w:ascii="Tele-GroteskNor" w:hAnsi="Tele-GroteskNor"/>
              </w:rPr>
              <w:t>Cerner Deutschland GmbH</w:t>
            </w:r>
          </w:p>
        </w:tc>
      </w:tr>
      <w:tr w:rsidR="00597483" w:rsidRPr="007472EE" w14:paraId="629C9F0F" w14:textId="77777777" w:rsidTr="00C55D2B">
        <w:tc>
          <w:tcPr>
            <w:tcW w:w="2518" w:type="dxa"/>
          </w:tcPr>
          <w:p w14:paraId="3C6DCB73" w14:textId="2D8EF58A" w:rsidR="00597483" w:rsidRDefault="00597483" w:rsidP="00C55D2B">
            <w:pPr>
              <w:rPr>
                <w:rFonts w:ascii="Tele-GroteskNor" w:hAnsi="Tele-GroteskNor"/>
              </w:rPr>
            </w:pPr>
            <w:r>
              <w:rPr>
                <w:rFonts w:ascii="Tele-GroteskNor" w:hAnsi="Tele-GroteskNor"/>
              </w:rPr>
              <w:t>Pierre Kaufmann</w:t>
            </w:r>
          </w:p>
        </w:tc>
        <w:tc>
          <w:tcPr>
            <w:tcW w:w="6694" w:type="dxa"/>
          </w:tcPr>
          <w:p w14:paraId="5B22D6F0" w14:textId="3CC640D5" w:rsidR="00597483" w:rsidRPr="00597483" w:rsidRDefault="00597483" w:rsidP="00C55D2B">
            <w:pPr>
              <w:rPr>
                <w:rFonts w:ascii="Tele-GroteskNor" w:hAnsi="Tele-GroteskNor"/>
              </w:rPr>
            </w:pPr>
            <w:r w:rsidRPr="00597483">
              <w:rPr>
                <w:rFonts w:ascii="Tele-GroteskNor" w:hAnsi="Tele-GroteskNor"/>
              </w:rPr>
              <w:t xml:space="preserve">Agfa </w:t>
            </w:r>
            <w:proofErr w:type="spellStart"/>
            <w:r w:rsidRPr="00597483">
              <w:rPr>
                <w:rFonts w:ascii="Tele-GroteskNor" w:hAnsi="Tele-GroteskNor"/>
              </w:rPr>
              <w:t>HealthCare</w:t>
            </w:r>
            <w:proofErr w:type="spellEnd"/>
          </w:p>
        </w:tc>
      </w:tr>
      <w:tr w:rsidR="00597483" w:rsidRPr="007472EE" w14:paraId="7440E8FC" w14:textId="77777777" w:rsidTr="00B71BCA">
        <w:tc>
          <w:tcPr>
            <w:tcW w:w="2518" w:type="dxa"/>
          </w:tcPr>
          <w:p w14:paraId="304DDCB5" w14:textId="77777777" w:rsidR="00597483" w:rsidRPr="007472EE" w:rsidRDefault="00597483" w:rsidP="00B71BCA">
            <w:pPr>
              <w:rPr>
                <w:rFonts w:ascii="Tele-GroteskNor" w:hAnsi="Tele-GroteskNor"/>
              </w:rPr>
            </w:pPr>
            <w:r w:rsidRPr="007472EE">
              <w:rPr>
                <w:rFonts w:ascii="Tele-GroteskNor" w:hAnsi="Tele-GroteskNor"/>
              </w:rPr>
              <w:t>Lukas Mempel</w:t>
            </w:r>
          </w:p>
        </w:tc>
        <w:tc>
          <w:tcPr>
            <w:tcW w:w="6694" w:type="dxa"/>
          </w:tcPr>
          <w:p w14:paraId="3618E61E" w14:textId="77777777" w:rsidR="00597483" w:rsidRPr="007472EE" w:rsidRDefault="00597483" w:rsidP="00B71BCA">
            <w:pPr>
              <w:rPr>
                <w:rFonts w:ascii="Tele-GroteskNor" w:hAnsi="Tele-GroteskNor"/>
              </w:rPr>
            </w:pPr>
            <w:r w:rsidRPr="007472EE">
              <w:rPr>
                <w:rFonts w:ascii="Tele-GroteskNor" w:hAnsi="Tele-GroteskNor"/>
              </w:rPr>
              <w:t>Sana Kliniken AG</w:t>
            </w:r>
          </w:p>
        </w:tc>
      </w:tr>
      <w:tr w:rsidR="00D2731D" w:rsidRPr="007472EE" w14:paraId="11F317F3" w14:textId="77777777" w:rsidTr="002E1519">
        <w:tc>
          <w:tcPr>
            <w:tcW w:w="2518" w:type="dxa"/>
          </w:tcPr>
          <w:p w14:paraId="52E89E70" w14:textId="77777777" w:rsidR="00D2731D" w:rsidRPr="007472EE" w:rsidRDefault="00D2731D" w:rsidP="002E1519">
            <w:pPr>
              <w:rPr>
                <w:rFonts w:ascii="Tele-GroteskNor" w:hAnsi="Tele-GroteskNor"/>
              </w:rPr>
            </w:pPr>
            <w:r w:rsidRPr="007472EE">
              <w:rPr>
                <w:rFonts w:ascii="Tele-GroteskNor" w:hAnsi="Tele-GroteskNor"/>
              </w:rPr>
              <w:t>Bernd Schütze</w:t>
            </w:r>
          </w:p>
        </w:tc>
        <w:tc>
          <w:tcPr>
            <w:tcW w:w="6694" w:type="dxa"/>
          </w:tcPr>
          <w:p w14:paraId="411306A7" w14:textId="77777777" w:rsidR="00D2731D" w:rsidRPr="007472EE" w:rsidRDefault="00D2731D" w:rsidP="002E1519">
            <w:pPr>
              <w:rPr>
                <w:rFonts w:ascii="Tele-GroteskNor" w:hAnsi="Tele-GroteskNor"/>
              </w:rPr>
            </w:pPr>
            <w:r w:rsidRPr="007472EE">
              <w:rPr>
                <w:rFonts w:ascii="Tele-GroteskNor" w:hAnsi="Tele-GroteskNor"/>
              </w:rPr>
              <w:t xml:space="preserve">Deutsche Telekom Healthcare </w:t>
            </w:r>
            <w:proofErr w:type="spellStart"/>
            <w:r w:rsidRPr="007472EE">
              <w:rPr>
                <w:rFonts w:ascii="Tele-GroteskNor" w:hAnsi="Tele-GroteskNor"/>
              </w:rPr>
              <w:t>and</w:t>
            </w:r>
            <w:proofErr w:type="spellEnd"/>
            <w:r w:rsidRPr="007472EE">
              <w:rPr>
                <w:rFonts w:ascii="Tele-GroteskNor" w:hAnsi="Tele-GroteskNor"/>
              </w:rPr>
              <w:t xml:space="preserve"> Security GmbH</w:t>
            </w:r>
          </w:p>
        </w:tc>
      </w:tr>
      <w:tr w:rsidR="00AA22BD" w:rsidRPr="007472EE" w14:paraId="218C1EB4" w14:textId="77777777" w:rsidTr="00C55D2B">
        <w:tc>
          <w:tcPr>
            <w:tcW w:w="2518" w:type="dxa"/>
          </w:tcPr>
          <w:p w14:paraId="17037554" w14:textId="77777777" w:rsidR="00AA22BD" w:rsidRPr="007472EE" w:rsidRDefault="00AA22BD" w:rsidP="00C55D2B">
            <w:pPr>
              <w:rPr>
                <w:rFonts w:ascii="Tele-GroteskNor" w:hAnsi="Tele-GroteskNor"/>
              </w:rPr>
            </w:pPr>
            <w:r w:rsidRPr="007472EE">
              <w:rPr>
                <w:rFonts w:ascii="Tele-GroteskNor" w:hAnsi="Tele-GroteskNor"/>
              </w:rPr>
              <w:t>Gerald Spyra</w:t>
            </w:r>
          </w:p>
        </w:tc>
        <w:tc>
          <w:tcPr>
            <w:tcW w:w="6694" w:type="dxa"/>
          </w:tcPr>
          <w:p w14:paraId="7AB8E091" w14:textId="77777777" w:rsidR="00AA22BD" w:rsidRPr="007472EE" w:rsidRDefault="00AA22BD" w:rsidP="00C55D2B">
            <w:pPr>
              <w:rPr>
                <w:rFonts w:ascii="Tele-GroteskNor" w:hAnsi="Tele-GroteskNor"/>
              </w:rPr>
            </w:pPr>
            <w:r w:rsidRPr="007472EE">
              <w:rPr>
                <w:rFonts w:ascii="Tele-GroteskNor" w:hAnsi="Tele-GroteskNor"/>
              </w:rPr>
              <w:t>Kanzlei Spyra</w:t>
            </w:r>
            <w:r w:rsidR="006A5EFB" w:rsidRPr="007472EE">
              <w:rPr>
                <w:rFonts w:ascii="Tele-GroteskNor" w:hAnsi="Tele-GroteskNor"/>
              </w:rPr>
              <w:t xml:space="preserve"> / / Ratajczak und Partner </w:t>
            </w:r>
            <w:proofErr w:type="spellStart"/>
            <w:r w:rsidR="006A5EFB" w:rsidRPr="007472EE">
              <w:rPr>
                <w:rFonts w:ascii="Tele-GroteskNor" w:hAnsi="Tele-GroteskNor"/>
              </w:rPr>
              <w:t>mbB</w:t>
            </w:r>
            <w:proofErr w:type="spellEnd"/>
            <w:r w:rsidR="006A5EFB" w:rsidRPr="007472EE">
              <w:rPr>
                <w:rFonts w:ascii="Tele-GroteskNor" w:hAnsi="Tele-GroteskNor"/>
              </w:rPr>
              <w:t xml:space="preserve"> Rechtsanwälte</w:t>
            </w:r>
          </w:p>
        </w:tc>
      </w:tr>
    </w:tbl>
    <w:p w14:paraId="178294F8" w14:textId="77777777" w:rsidR="00D2731D" w:rsidRPr="007472EE" w:rsidRDefault="00D2731D" w:rsidP="00D2731D"/>
    <w:p w14:paraId="07999CB4" w14:textId="0B9322EC" w:rsidR="00D2731D" w:rsidRPr="007472EE" w:rsidRDefault="00D2731D" w:rsidP="00D2731D">
      <w:bookmarkStart w:id="2" w:name="_Toc451508387"/>
      <w:r w:rsidRPr="007472EE">
        <w:t xml:space="preserve">Stand: </w:t>
      </w:r>
      <w:r w:rsidR="00542F02">
        <w:t>16</w:t>
      </w:r>
      <w:r w:rsidRPr="007472EE">
        <w:t>.</w:t>
      </w:r>
      <w:r w:rsidR="00CE49E3">
        <w:t xml:space="preserve"> Februar </w:t>
      </w:r>
      <w:r w:rsidRPr="007472EE">
        <w:t>201</w:t>
      </w:r>
      <w:bookmarkEnd w:id="2"/>
      <w:r w:rsidR="002E09F2" w:rsidRPr="007472EE">
        <w:t>8</w:t>
      </w:r>
    </w:p>
    <w:p w14:paraId="2B1D581E" w14:textId="77777777" w:rsidR="00D2731D" w:rsidRPr="00CA076C" w:rsidRDefault="00D2731D" w:rsidP="00D2731D"/>
    <w:p w14:paraId="1FCA4F9E" w14:textId="77777777" w:rsidR="00D2731D" w:rsidRPr="00CA076C" w:rsidRDefault="00D2731D" w:rsidP="00D2731D">
      <w:pPr>
        <w:jc w:val="left"/>
      </w:pPr>
      <w:r w:rsidRPr="00CA076C">
        <w:br w:type="page"/>
      </w:r>
    </w:p>
    <w:p w14:paraId="2F5D1646" w14:textId="77777777" w:rsidR="00D2731D" w:rsidRPr="00CA076C" w:rsidRDefault="00D2731D" w:rsidP="00DA2B23">
      <w:pPr>
        <w:spacing w:after="80"/>
        <w:rPr>
          <w:rFonts w:asciiTheme="majorHAnsi" w:hAnsiTheme="majorHAnsi"/>
          <w:b/>
          <w:color w:val="365F91" w:themeColor="accent1" w:themeShade="BF"/>
          <w:sz w:val="28"/>
          <w:szCs w:val="28"/>
        </w:rPr>
      </w:pPr>
      <w:bookmarkStart w:id="3" w:name="_Toc384031309"/>
      <w:bookmarkStart w:id="4" w:name="_Toc466177206"/>
      <w:bookmarkStart w:id="5" w:name="_Toc466177268"/>
      <w:bookmarkStart w:id="6" w:name="_Toc467402030"/>
      <w:bookmarkStart w:id="7" w:name="_Toc470630151"/>
      <w:bookmarkStart w:id="8" w:name="_Toc470630228"/>
      <w:bookmarkStart w:id="9" w:name="_Toc472062746"/>
      <w:bookmarkStart w:id="10" w:name="_Toc472062819"/>
      <w:bookmarkStart w:id="11" w:name="_Toc472700194"/>
      <w:bookmarkStart w:id="12" w:name="_Toc472750820"/>
      <w:bookmarkStart w:id="13" w:name="_Toc472754490"/>
      <w:bookmarkStart w:id="14" w:name="_Toc472846406"/>
      <w:bookmarkStart w:id="15" w:name="_Toc473233932"/>
      <w:bookmarkStart w:id="16" w:name="_Toc474484946"/>
      <w:bookmarkStart w:id="17" w:name="_Toc474485678"/>
      <w:bookmarkStart w:id="18" w:name="_Toc474495489"/>
      <w:bookmarkStart w:id="19" w:name="_Toc476302738"/>
      <w:bookmarkStart w:id="20" w:name="_Toc478037173"/>
      <w:bookmarkStart w:id="21" w:name="_Toc478037313"/>
      <w:bookmarkStart w:id="22" w:name="_Toc478204418"/>
      <w:bookmarkStart w:id="23" w:name="_Toc478725842"/>
      <w:bookmarkStart w:id="24" w:name="_Toc481399823"/>
      <w:bookmarkStart w:id="25" w:name="_Toc481838553"/>
      <w:bookmarkStart w:id="26" w:name="_Toc484343753"/>
      <w:bookmarkStart w:id="27" w:name="_Toc486696416"/>
      <w:bookmarkStart w:id="28" w:name="_Toc488390183"/>
      <w:bookmarkStart w:id="29" w:name="_Toc488391371"/>
      <w:bookmarkStart w:id="30" w:name="_Toc492202025"/>
      <w:bookmarkStart w:id="31" w:name="_Toc492282807"/>
      <w:r w:rsidRPr="00CA076C">
        <w:rPr>
          <w:rFonts w:asciiTheme="majorHAnsi" w:hAnsiTheme="majorHAnsi"/>
          <w:b/>
          <w:color w:val="365F91" w:themeColor="accent1" w:themeShade="BF"/>
          <w:sz w:val="28"/>
          <w:szCs w:val="28"/>
        </w:rPr>
        <w:lastRenderedPageBreak/>
        <w:t>Haftungsausschluss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212C45E9" w14:textId="77777777" w:rsidR="00D2731D" w:rsidRPr="00CA076C" w:rsidRDefault="00D2731D" w:rsidP="00D2731D">
      <w:pPr>
        <w:rPr>
          <w:rFonts w:cs="Arial"/>
          <w:sz w:val="21"/>
          <w:szCs w:val="21"/>
        </w:rPr>
      </w:pPr>
      <w:r w:rsidRPr="00CA076C">
        <w:rPr>
          <w:rFonts w:cs="Arial"/>
          <w:sz w:val="21"/>
          <w:szCs w:val="21"/>
        </w:rPr>
        <w:t>Das vorliegende Werk ist nach bestem Wissen erstellt, der Inhalt wurde von den Autoren mit größter Sorgfalt zusammengestellt. Dennoch ist diese Ausarbeitung nur als Standpunkt der Autoren aufzufassen, eine Haftung für die Angaben übernehmen die Autoren nicht. Die in diesem Werk gegebenen Hinweise dürfen daher nicht direkt übernommen werden, sondern müssen vom Leser für die jeweilige Situation anhand der geltenden Vorschriften geprüft und angepasst werden.</w:t>
      </w:r>
    </w:p>
    <w:p w14:paraId="3A82C440" w14:textId="77777777" w:rsidR="00D2731D" w:rsidRPr="00CA076C" w:rsidRDefault="00D2731D" w:rsidP="00D2731D">
      <w:pPr>
        <w:rPr>
          <w:rFonts w:cs="Arial"/>
          <w:sz w:val="21"/>
          <w:szCs w:val="21"/>
        </w:rPr>
      </w:pPr>
      <w:r w:rsidRPr="00CA076C">
        <w:rPr>
          <w:rFonts w:cs="Arial"/>
          <w:sz w:val="21"/>
          <w:szCs w:val="21"/>
        </w:rPr>
        <w:t>Die Autoren sind bestrebt, in allen Publikationen die Urheberrechte der verwendeten Texte zu beachten, von ihnen selbst erstellte Texte zu nutzen oder auf lizenzfreie Texte zurückzugreifen.</w:t>
      </w:r>
    </w:p>
    <w:p w14:paraId="45AFA577" w14:textId="77777777" w:rsidR="00D2731D" w:rsidRPr="00CA076C" w:rsidRDefault="00D2731D" w:rsidP="00D2731D">
      <w:pPr>
        <w:rPr>
          <w:rFonts w:cs="Arial"/>
          <w:sz w:val="21"/>
          <w:szCs w:val="21"/>
        </w:rPr>
      </w:pPr>
      <w:r w:rsidRPr="00CA076C">
        <w:rPr>
          <w:rFonts w:cs="Arial"/>
          <w:sz w:val="21"/>
          <w:szCs w:val="21"/>
        </w:rPr>
        <w:t>Alle innerhalb dieses Dokumentes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w:t>
      </w:r>
    </w:p>
    <w:p w14:paraId="7E6B9461" w14:textId="77777777" w:rsidR="00D2731D" w:rsidRPr="00CA076C" w:rsidRDefault="00D2731D" w:rsidP="00DA2B23">
      <w:pPr>
        <w:spacing w:after="80"/>
        <w:rPr>
          <w:rFonts w:asciiTheme="majorHAnsi" w:hAnsiTheme="majorHAnsi"/>
          <w:b/>
          <w:color w:val="365F91" w:themeColor="accent1" w:themeShade="BF"/>
          <w:sz w:val="28"/>
          <w:szCs w:val="28"/>
        </w:rPr>
      </w:pPr>
      <w:bookmarkStart w:id="32" w:name="_Toc400089231"/>
      <w:bookmarkStart w:id="33" w:name="_Toc466177207"/>
      <w:bookmarkStart w:id="34" w:name="_Toc466177269"/>
      <w:bookmarkStart w:id="35" w:name="_Toc467402031"/>
      <w:bookmarkStart w:id="36" w:name="_Toc470630152"/>
      <w:bookmarkStart w:id="37" w:name="_Toc470630229"/>
      <w:bookmarkStart w:id="38" w:name="_Toc472062747"/>
      <w:bookmarkStart w:id="39" w:name="_Toc472062820"/>
      <w:bookmarkStart w:id="40" w:name="_Toc472700195"/>
      <w:bookmarkStart w:id="41" w:name="_Toc472750821"/>
      <w:bookmarkStart w:id="42" w:name="_Toc472754491"/>
      <w:bookmarkStart w:id="43" w:name="_Toc472846407"/>
      <w:bookmarkStart w:id="44" w:name="_Toc473233933"/>
      <w:bookmarkStart w:id="45" w:name="_Toc474484947"/>
      <w:bookmarkStart w:id="46" w:name="_Toc474485679"/>
      <w:bookmarkStart w:id="47" w:name="_Toc474495490"/>
      <w:bookmarkStart w:id="48" w:name="_Toc476302739"/>
      <w:bookmarkStart w:id="49" w:name="_Toc478037174"/>
      <w:bookmarkStart w:id="50" w:name="_Toc478037314"/>
      <w:bookmarkStart w:id="51" w:name="_Toc478204419"/>
      <w:bookmarkStart w:id="52" w:name="_Toc478725843"/>
      <w:bookmarkStart w:id="53" w:name="_Toc481399824"/>
      <w:bookmarkStart w:id="54" w:name="_Toc481838554"/>
      <w:bookmarkStart w:id="55" w:name="_Toc484343754"/>
      <w:bookmarkStart w:id="56" w:name="_Toc486696417"/>
      <w:bookmarkStart w:id="57" w:name="_Toc488390184"/>
      <w:bookmarkStart w:id="58" w:name="_Toc488391372"/>
      <w:bookmarkStart w:id="59" w:name="_Toc492202026"/>
      <w:bookmarkStart w:id="60" w:name="_Toc492282808"/>
      <w:r w:rsidRPr="00CA076C">
        <w:rPr>
          <w:rFonts w:asciiTheme="majorHAnsi" w:hAnsiTheme="majorHAnsi"/>
          <w:b/>
          <w:color w:val="365F91" w:themeColor="accent1" w:themeShade="BF"/>
          <w:sz w:val="28"/>
          <w:szCs w:val="28"/>
        </w:rPr>
        <w:t>Copyright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00283864" w14:textId="77777777" w:rsidR="00D2731D" w:rsidRPr="00CA076C" w:rsidRDefault="00D2731D" w:rsidP="00D2731D">
      <w:pPr>
        <w:rPr>
          <w:rFonts w:cs="Arial"/>
          <w:sz w:val="21"/>
          <w:szCs w:val="21"/>
        </w:rPr>
      </w:pPr>
      <w:r w:rsidRPr="00CA076C">
        <w:rPr>
          <w:rFonts w:cs="Arial"/>
          <w:sz w:val="21"/>
          <w:szCs w:val="21"/>
        </w:rPr>
        <w:t>Für in diesem Dokument veröffentlichte, von den Autoren selbst erstellte Objekte gilt hinsichtlich des Copyrights die folgende Regelung:</w:t>
      </w:r>
    </w:p>
    <w:p w14:paraId="2207FE37" w14:textId="77777777" w:rsidR="00D2731D" w:rsidRPr="00CA076C" w:rsidRDefault="00D2731D" w:rsidP="00D2731D">
      <w:pPr>
        <w:spacing w:after="0"/>
        <w:rPr>
          <w:rFonts w:cs="Arial"/>
          <w:sz w:val="21"/>
          <w:szCs w:val="21"/>
        </w:rPr>
      </w:pPr>
      <w:r w:rsidRPr="00CA076C">
        <w:rPr>
          <w:noProof/>
          <w:sz w:val="21"/>
          <w:szCs w:val="21"/>
          <w:lang w:eastAsia="de-DE"/>
        </w:rPr>
        <w:drawing>
          <wp:anchor distT="0" distB="0" distL="114300" distR="114300" simplePos="0" relativeHeight="251655168" behindDoc="0" locked="0" layoutInCell="1" allowOverlap="1" wp14:anchorId="6ADB909E" wp14:editId="0447F909">
            <wp:simplePos x="0" y="0"/>
            <wp:positionH relativeFrom="column">
              <wp:posOffset>4981575</wp:posOffset>
            </wp:positionH>
            <wp:positionV relativeFrom="paragraph">
              <wp:posOffset>9525</wp:posOffset>
            </wp:positionV>
            <wp:extent cx="838200" cy="2952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76C">
        <w:rPr>
          <w:rFonts w:cs="Arial"/>
          <w:sz w:val="21"/>
          <w:szCs w:val="21"/>
        </w:rPr>
        <w:t>Dieses Werk ist unter einer Creative Commons-Lizenz (4.0 Deutschland Lizenzvertrag) lizenziert.</w:t>
      </w:r>
      <w:r w:rsidRPr="00CA076C">
        <w:rPr>
          <w:noProof/>
          <w:sz w:val="21"/>
          <w:szCs w:val="21"/>
          <w:lang w:eastAsia="de-DE"/>
        </w:rPr>
        <w:t xml:space="preserve"> </w:t>
      </w:r>
      <w:r w:rsidRPr="00CA076C">
        <w:rPr>
          <w:rFonts w:cs="Arial"/>
          <w:sz w:val="21"/>
          <w:szCs w:val="21"/>
        </w:rPr>
        <w:t>D. h. Sie dürfen:</w:t>
      </w:r>
    </w:p>
    <w:p w14:paraId="27B04C11" w14:textId="77777777" w:rsidR="00D2731D" w:rsidRPr="00CA076C" w:rsidRDefault="00D2731D" w:rsidP="00D2731D">
      <w:pPr>
        <w:pStyle w:val="Listenabsatz"/>
        <w:numPr>
          <w:ilvl w:val="0"/>
          <w:numId w:val="18"/>
        </w:numPr>
        <w:spacing w:after="0"/>
        <w:ind w:left="714" w:hanging="357"/>
        <w:rPr>
          <w:rFonts w:cs="Arial"/>
          <w:sz w:val="21"/>
          <w:szCs w:val="21"/>
        </w:rPr>
      </w:pPr>
      <w:r w:rsidRPr="00CA076C">
        <w:rPr>
          <w:rFonts w:cs="Arial"/>
          <w:sz w:val="21"/>
          <w:szCs w:val="21"/>
        </w:rPr>
        <w:t>Teilen: Das Material in jedwedem Format oder Medium vervielfältigen und weiterverbreiten</w:t>
      </w:r>
    </w:p>
    <w:p w14:paraId="3162E000" w14:textId="77777777" w:rsidR="00D2731D" w:rsidRPr="00CA076C" w:rsidRDefault="00D2731D" w:rsidP="00D2731D">
      <w:pPr>
        <w:pStyle w:val="Listenabsatz"/>
        <w:numPr>
          <w:ilvl w:val="0"/>
          <w:numId w:val="18"/>
        </w:numPr>
        <w:spacing w:after="0"/>
        <w:ind w:left="714" w:hanging="357"/>
        <w:rPr>
          <w:rFonts w:cs="Arial"/>
          <w:sz w:val="21"/>
          <w:szCs w:val="21"/>
        </w:rPr>
      </w:pPr>
      <w:r w:rsidRPr="00CA076C">
        <w:rPr>
          <w:rFonts w:cs="Arial"/>
          <w:sz w:val="21"/>
          <w:szCs w:val="21"/>
        </w:rPr>
        <w:t xml:space="preserve">Bearbeiten: Das Material </w:t>
      </w:r>
      <w:proofErr w:type="spellStart"/>
      <w:r w:rsidRPr="00CA076C">
        <w:rPr>
          <w:rFonts w:cs="Arial"/>
          <w:sz w:val="21"/>
          <w:szCs w:val="21"/>
        </w:rPr>
        <w:t>remixen</w:t>
      </w:r>
      <w:proofErr w:type="spellEnd"/>
      <w:r w:rsidRPr="00CA076C">
        <w:rPr>
          <w:rFonts w:cs="Arial"/>
          <w:sz w:val="21"/>
          <w:szCs w:val="21"/>
        </w:rPr>
        <w:t>, verändern und darauf aufbauen</w:t>
      </w:r>
    </w:p>
    <w:p w14:paraId="39381FD7" w14:textId="77777777" w:rsidR="00D2731D" w:rsidRPr="00CA076C" w:rsidRDefault="00D2731D" w:rsidP="00D2731D">
      <w:pPr>
        <w:rPr>
          <w:rFonts w:cs="Arial"/>
          <w:sz w:val="21"/>
          <w:szCs w:val="21"/>
        </w:rPr>
      </w:pPr>
      <w:r w:rsidRPr="00CA076C">
        <w:rPr>
          <w:rFonts w:cs="Arial"/>
          <w:sz w:val="21"/>
          <w:szCs w:val="21"/>
        </w:rPr>
        <w:t>und zwar für beliebige Zwecke, sogar kommerziell. Der Lizenzgeber kann diese Freiheiten nicht widerrufen, solange Sie sich an die Lizenzbedingungen halten.</w:t>
      </w:r>
    </w:p>
    <w:p w14:paraId="392A4BA7" w14:textId="77777777" w:rsidR="00D2731D" w:rsidRPr="00CA076C" w:rsidRDefault="00D2731D" w:rsidP="00D2731D">
      <w:pPr>
        <w:spacing w:after="0"/>
        <w:rPr>
          <w:rFonts w:cs="Arial"/>
          <w:sz w:val="21"/>
          <w:szCs w:val="21"/>
        </w:rPr>
      </w:pPr>
      <w:r w:rsidRPr="00CA076C">
        <w:rPr>
          <w:rFonts w:cs="Arial"/>
          <w:sz w:val="21"/>
          <w:szCs w:val="21"/>
        </w:rPr>
        <w:t>Die Nutzung ist unter den folgenden Bedingungen möglich:</w:t>
      </w:r>
    </w:p>
    <w:p w14:paraId="26A529A0" w14:textId="77777777" w:rsidR="00D2731D" w:rsidRPr="00CA076C" w:rsidRDefault="00D2731D" w:rsidP="00D2731D">
      <w:pPr>
        <w:pStyle w:val="Listenabsatz"/>
        <w:numPr>
          <w:ilvl w:val="0"/>
          <w:numId w:val="18"/>
        </w:numPr>
        <w:spacing w:after="0"/>
        <w:rPr>
          <w:rFonts w:cs="Arial"/>
          <w:sz w:val="21"/>
          <w:szCs w:val="21"/>
        </w:rPr>
      </w:pPr>
      <w:r w:rsidRPr="00CA076C">
        <w:rPr>
          <w:rFonts w:cs="Arial"/>
          <w:sz w:val="21"/>
          <w:szCs w:val="21"/>
        </w:rPr>
        <w:t>Namensnennung: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p>
    <w:p w14:paraId="293A9E71" w14:textId="77777777" w:rsidR="00D2731D" w:rsidRPr="00CA076C" w:rsidRDefault="00D2731D" w:rsidP="00D2731D">
      <w:pPr>
        <w:pStyle w:val="Listenabsatz"/>
        <w:numPr>
          <w:ilvl w:val="0"/>
          <w:numId w:val="18"/>
        </w:numPr>
        <w:spacing w:after="0"/>
        <w:rPr>
          <w:rFonts w:cs="Arial"/>
          <w:sz w:val="21"/>
          <w:szCs w:val="21"/>
        </w:rPr>
      </w:pPr>
      <w:r w:rsidRPr="00CA076C">
        <w:rPr>
          <w:rFonts w:cs="Arial"/>
          <w:sz w:val="21"/>
          <w:szCs w:val="21"/>
        </w:rPr>
        <w:t xml:space="preserve">Weitergabe unter gleichen Bedingungen: Wenn Sie das Material </w:t>
      </w:r>
      <w:proofErr w:type="spellStart"/>
      <w:r w:rsidRPr="00CA076C">
        <w:rPr>
          <w:rFonts w:cs="Arial"/>
          <w:sz w:val="21"/>
          <w:szCs w:val="21"/>
        </w:rPr>
        <w:t>remixen</w:t>
      </w:r>
      <w:proofErr w:type="spellEnd"/>
      <w:r w:rsidRPr="00CA076C">
        <w:rPr>
          <w:rFonts w:cs="Arial"/>
          <w:sz w:val="21"/>
          <w:szCs w:val="21"/>
        </w:rPr>
        <w:t>, verändern oder anderweitig direkt darauf aufbauen, dürfen Sie Ihre Beiträge nur unter derselben Lizenz wie das Original verbreiten.</w:t>
      </w:r>
    </w:p>
    <w:p w14:paraId="48DD1B2F" w14:textId="77777777" w:rsidR="00D2731D" w:rsidRPr="00CA076C" w:rsidRDefault="00D2731D" w:rsidP="00D2731D">
      <w:pPr>
        <w:pStyle w:val="Listenabsatz"/>
        <w:numPr>
          <w:ilvl w:val="0"/>
          <w:numId w:val="18"/>
        </w:numPr>
        <w:spacing w:after="80"/>
        <w:ind w:left="714" w:hanging="357"/>
        <w:rPr>
          <w:rFonts w:cs="Arial"/>
          <w:sz w:val="21"/>
          <w:szCs w:val="21"/>
        </w:rPr>
      </w:pPr>
      <w:r w:rsidRPr="00CA076C">
        <w:rPr>
          <w:rFonts w:cs="Arial"/>
          <w:sz w:val="21"/>
          <w:szCs w:val="21"/>
        </w:rPr>
        <w:t>Keine weiteren Einschränkungen: Sie dürfen keine zusätzlichen Klauseln oder technische Verfahren einsetzen, die anderen rechtlich irgendetwas untersagen, was die Lizenz erlaubt.</w:t>
      </w:r>
    </w:p>
    <w:p w14:paraId="6568B483" w14:textId="77777777" w:rsidR="00D2731D" w:rsidRPr="00CA076C" w:rsidRDefault="00D2731D" w:rsidP="00D2731D">
      <w:pPr>
        <w:spacing w:after="0"/>
        <w:rPr>
          <w:rFonts w:cs="Arial"/>
          <w:sz w:val="21"/>
          <w:szCs w:val="21"/>
        </w:rPr>
      </w:pPr>
      <w:r w:rsidRPr="00CA076C">
        <w:rPr>
          <w:rFonts w:cs="Arial"/>
          <w:sz w:val="21"/>
          <w:szCs w:val="21"/>
        </w:rPr>
        <w:t>Im Weiteren gilt:</w:t>
      </w:r>
    </w:p>
    <w:p w14:paraId="7CE1E8A4" w14:textId="77777777" w:rsidR="00D2731D" w:rsidRPr="00CA076C" w:rsidRDefault="00D2731D" w:rsidP="00D2731D">
      <w:pPr>
        <w:pStyle w:val="Listenabsatz"/>
        <w:numPr>
          <w:ilvl w:val="0"/>
          <w:numId w:val="18"/>
        </w:numPr>
        <w:spacing w:after="0"/>
        <w:ind w:left="714" w:hanging="357"/>
        <w:rPr>
          <w:rFonts w:cs="Arial"/>
          <w:sz w:val="21"/>
          <w:szCs w:val="21"/>
        </w:rPr>
      </w:pPr>
      <w:r w:rsidRPr="00CA076C">
        <w:rPr>
          <w:rFonts w:cs="Arial"/>
          <w:sz w:val="21"/>
          <w:szCs w:val="21"/>
        </w:rPr>
        <w:t>Jede der vorgenannten Bedingungen kann aufgehoben werden, sofern Sie die Einwilligung des Rechteinhabers dazu erhalten.</w:t>
      </w:r>
    </w:p>
    <w:p w14:paraId="01A6E0BB" w14:textId="77777777" w:rsidR="00D2731D" w:rsidRPr="00CA076C" w:rsidRDefault="00D2731D" w:rsidP="00D2731D">
      <w:pPr>
        <w:pStyle w:val="Listenabsatz"/>
        <w:numPr>
          <w:ilvl w:val="0"/>
          <w:numId w:val="18"/>
        </w:numPr>
        <w:spacing w:after="0"/>
        <w:ind w:left="714" w:hanging="357"/>
        <w:rPr>
          <w:rFonts w:cs="Arial"/>
          <w:sz w:val="21"/>
          <w:szCs w:val="21"/>
        </w:rPr>
      </w:pPr>
      <w:r w:rsidRPr="00CA076C">
        <w:rPr>
          <w:rFonts w:cs="Arial"/>
          <w:sz w:val="21"/>
          <w:szCs w:val="21"/>
        </w:rPr>
        <w:t>Diese Lizenz lässt die Urheberpersönlichkeitsrechte unberührt.</w:t>
      </w:r>
    </w:p>
    <w:p w14:paraId="7A0810DD" w14:textId="77777777" w:rsidR="00D2731D" w:rsidRPr="00CA076C" w:rsidRDefault="00D2731D" w:rsidP="00D2731D">
      <w:pPr>
        <w:spacing w:after="0"/>
        <w:rPr>
          <w:rFonts w:cs="Arial"/>
          <w:sz w:val="21"/>
          <w:szCs w:val="21"/>
        </w:rPr>
      </w:pPr>
      <w:r w:rsidRPr="00CA076C">
        <w:rPr>
          <w:rFonts w:cs="Arial"/>
          <w:sz w:val="21"/>
          <w:szCs w:val="21"/>
        </w:rPr>
        <w:t>Um sich die Lizenz anzusehen, gehen Sie bitte ins Internet auf die Webseite:</w:t>
      </w:r>
    </w:p>
    <w:p w14:paraId="227BF190" w14:textId="77777777" w:rsidR="00D2731D" w:rsidRPr="00CA076C" w:rsidRDefault="00D2731D" w:rsidP="00D2731D">
      <w:pPr>
        <w:spacing w:after="0"/>
        <w:jc w:val="center"/>
        <w:rPr>
          <w:rFonts w:cs="Arial"/>
          <w:sz w:val="21"/>
          <w:szCs w:val="21"/>
        </w:rPr>
      </w:pPr>
      <w:r w:rsidRPr="00CA076C">
        <w:rPr>
          <w:rFonts w:cs="Arial"/>
          <w:sz w:val="21"/>
          <w:szCs w:val="21"/>
        </w:rPr>
        <w:t>https://creativecommons.org/licenses/by-sa/4.0/deed.de</w:t>
      </w:r>
    </w:p>
    <w:p w14:paraId="07EEE953" w14:textId="77777777" w:rsidR="00D2731D" w:rsidRPr="00CA076C" w:rsidRDefault="00D2731D" w:rsidP="00D2731D">
      <w:pPr>
        <w:spacing w:after="0"/>
        <w:rPr>
          <w:rFonts w:cs="Arial"/>
          <w:sz w:val="21"/>
          <w:szCs w:val="21"/>
        </w:rPr>
      </w:pPr>
      <w:r w:rsidRPr="00CA076C">
        <w:rPr>
          <w:rFonts w:cs="Arial"/>
          <w:sz w:val="21"/>
          <w:szCs w:val="21"/>
        </w:rPr>
        <w:t>bzw. für den vollständigen Lizenztext</w:t>
      </w:r>
    </w:p>
    <w:p w14:paraId="7379B79E" w14:textId="77777777" w:rsidR="00D2731D" w:rsidRPr="00CA076C" w:rsidRDefault="00D2731D" w:rsidP="00D2731D">
      <w:pPr>
        <w:jc w:val="center"/>
        <w:rPr>
          <w:sz w:val="21"/>
          <w:szCs w:val="21"/>
        </w:rPr>
      </w:pPr>
      <w:r w:rsidRPr="00CA076C">
        <w:rPr>
          <w:rFonts w:cs="Arial"/>
          <w:sz w:val="21"/>
          <w:szCs w:val="21"/>
        </w:rPr>
        <w:t>https://creativecommons.org/licenses/by-sa/4.0/legalcode</w:t>
      </w:r>
    </w:p>
    <w:p w14:paraId="1F861785" w14:textId="77777777" w:rsidR="00D2731D" w:rsidRPr="00CA076C" w:rsidRDefault="00D2731D" w:rsidP="00D2731D"/>
    <w:p w14:paraId="76410B2D" w14:textId="77777777" w:rsidR="00D2731D" w:rsidRPr="00CA076C" w:rsidRDefault="00D2731D" w:rsidP="00D2731D">
      <w:pPr>
        <w:sectPr w:rsidR="00D2731D" w:rsidRPr="00CA076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pPr>
    </w:p>
    <w:p w14:paraId="3856B097" w14:textId="77777777" w:rsidR="00D2731D" w:rsidRPr="00CA076C" w:rsidRDefault="00D2731D" w:rsidP="00E44AC3">
      <w:pPr>
        <w:pStyle w:val="berschrift1"/>
        <w:numPr>
          <w:ilvl w:val="0"/>
          <w:numId w:val="0"/>
        </w:numPr>
      </w:pPr>
      <w:bookmarkStart w:id="61" w:name="_Toc481399825"/>
      <w:bookmarkStart w:id="62" w:name="_Toc481838555"/>
      <w:bookmarkStart w:id="63" w:name="_Toc484343755"/>
      <w:bookmarkStart w:id="64" w:name="_Toc486696418"/>
      <w:bookmarkStart w:id="65" w:name="_Toc488390185"/>
      <w:bookmarkStart w:id="66" w:name="_Toc492202027"/>
      <w:bookmarkStart w:id="67" w:name="_Toc492282809"/>
      <w:bookmarkStart w:id="68" w:name="_Toc492380263"/>
      <w:bookmarkStart w:id="69" w:name="_Toc494093829"/>
      <w:bookmarkStart w:id="70" w:name="_Toc503456482"/>
      <w:r w:rsidRPr="00CA076C">
        <w:lastRenderedPageBreak/>
        <w:t>Inhaltsverzeichnis</w:t>
      </w:r>
      <w:bookmarkEnd w:id="61"/>
      <w:bookmarkEnd w:id="62"/>
      <w:bookmarkEnd w:id="63"/>
      <w:bookmarkEnd w:id="64"/>
      <w:bookmarkEnd w:id="65"/>
      <w:bookmarkEnd w:id="66"/>
      <w:bookmarkEnd w:id="67"/>
      <w:bookmarkEnd w:id="68"/>
      <w:bookmarkEnd w:id="69"/>
      <w:bookmarkEnd w:id="70"/>
    </w:p>
    <w:p w14:paraId="70C1526A" w14:textId="77777777" w:rsidR="004A6862" w:rsidRPr="00CA076C" w:rsidRDefault="00D2731D">
      <w:pPr>
        <w:pStyle w:val="Verzeichnis1"/>
        <w:tabs>
          <w:tab w:val="right" w:leader="underscore" w:pos="9062"/>
        </w:tabs>
        <w:rPr>
          <w:rFonts w:eastAsiaTheme="minorEastAsia"/>
          <w:b w:val="0"/>
          <w:bCs w:val="0"/>
          <w:iCs w:val="0"/>
          <w:noProof/>
          <w:sz w:val="22"/>
          <w:szCs w:val="22"/>
          <w:lang w:eastAsia="de-DE"/>
        </w:rPr>
      </w:pPr>
      <w:r w:rsidRPr="00CA076C">
        <w:fldChar w:fldCharType="begin"/>
      </w:r>
      <w:r w:rsidRPr="00CA076C">
        <w:instrText xml:space="preserve"> TOC \o "1-4" \h \z \u </w:instrText>
      </w:r>
      <w:r w:rsidRPr="00CA076C">
        <w:fldChar w:fldCharType="separate"/>
      </w:r>
      <w:hyperlink w:anchor="_Toc503456483" w:history="1">
        <w:r w:rsidR="004A6862" w:rsidRPr="00CA076C">
          <w:rPr>
            <w:rStyle w:val="Hyperlink"/>
            <w:noProof/>
          </w:rPr>
          <w:t>Zusammenfassung</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_Toc503456483 \h </w:instrText>
        </w:r>
        <w:r w:rsidR="004A6862" w:rsidRPr="00CA076C">
          <w:rPr>
            <w:noProof/>
            <w:webHidden/>
          </w:rPr>
        </w:r>
        <w:r w:rsidR="004A6862" w:rsidRPr="00CA076C">
          <w:rPr>
            <w:noProof/>
            <w:webHidden/>
          </w:rPr>
          <w:fldChar w:fldCharType="separate"/>
        </w:r>
        <w:r w:rsidR="001D39C0" w:rsidRPr="00CA076C">
          <w:rPr>
            <w:noProof/>
            <w:webHidden/>
          </w:rPr>
          <w:t>3</w:t>
        </w:r>
        <w:r w:rsidR="004A6862" w:rsidRPr="00CA076C">
          <w:rPr>
            <w:noProof/>
            <w:webHidden/>
          </w:rPr>
          <w:fldChar w:fldCharType="end"/>
        </w:r>
      </w:hyperlink>
    </w:p>
    <w:p w14:paraId="4383AA3D" w14:textId="77777777" w:rsidR="004A6862" w:rsidRPr="00CA076C" w:rsidRDefault="004805AE">
      <w:pPr>
        <w:pStyle w:val="Verzeichnis1"/>
        <w:tabs>
          <w:tab w:val="left" w:pos="440"/>
          <w:tab w:val="right" w:leader="underscore" w:pos="9062"/>
        </w:tabs>
        <w:rPr>
          <w:rFonts w:eastAsiaTheme="minorEastAsia"/>
          <w:b w:val="0"/>
          <w:bCs w:val="0"/>
          <w:iCs w:val="0"/>
          <w:noProof/>
          <w:sz w:val="22"/>
          <w:szCs w:val="22"/>
          <w:lang w:eastAsia="de-DE"/>
        </w:rPr>
      </w:pPr>
      <w:hyperlink w:anchor="_Toc503456484" w:history="1">
        <w:r w:rsidR="004A6862" w:rsidRPr="00CA076C">
          <w:rPr>
            <w:rStyle w:val="Hyperlink"/>
            <w:noProof/>
          </w:rPr>
          <w:t>1</w:t>
        </w:r>
        <w:r w:rsidR="004A6862" w:rsidRPr="00CA076C">
          <w:rPr>
            <w:rFonts w:eastAsiaTheme="minorEastAsia"/>
            <w:b w:val="0"/>
            <w:bCs w:val="0"/>
            <w:iCs w:val="0"/>
            <w:noProof/>
            <w:sz w:val="22"/>
            <w:szCs w:val="22"/>
            <w:lang w:eastAsia="de-DE"/>
          </w:rPr>
          <w:tab/>
        </w:r>
        <w:r w:rsidR="004A6862" w:rsidRPr="00CA076C">
          <w:rPr>
            <w:rStyle w:val="Hyperlink"/>
            <w:noProof/>
          </w:rPr>
          <w:t>Einleitung</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_Toc503456484 \h </w:instrText>
        </w:r>
        <w:r w:rsidR="004A6862" w:rsidRPr="00CA076C">
          <w:rPr>
            <w:noProof/>
            <w:webHidden/>
          </w:rPr>
        </w:r>
        <w:r w:rsidR="004A6862" w:rsidRPr="00CA076C">
          <w:rPr>
            <w:noProof/>
            <w:webHidden/>
          </w:rPr>
          <w:fldChar w:fldCharType="separate"/>
        </w:r>
        <w:r w:rsidR="001D39C0" w:rsidRPr="00CA076C">
          <w:rPr>
            <w:noProof/>
            <w:webHidden/>
          </w:rPr>
          <w:t>5</w:t>
        </w:r>
        <w:r w:rsidR="004A6862" w:rsidRPr="00CA076C">
          <w:rPr>
            <w:noProof/>
            <w:webHidden/>
          </w:rPr>
          <w:fldChar w:fldCharType="end"/>
        </w:r>
      </w:hyperlink>
    </w:p>
    <w:p w14:paraId="2D26B835" w14:textId="77777777" w:rsidR="004A6862" w:rsidRPr="00CA076C" w:rsidRDefault="004805AE">
      <w:pPr>
        <w:pStyle w:val="Verzeichnis1"/>
        <w:tabs>
          <w:tab w:val="left" w:pos="440"/>
          <w:tab w:val="right" w:leader="underscore" w:pos="9062"/>
        </w:tabs>
        <w:rPr>
          <w:rFonts w:eastAsiaTheme="minorEastAsia"/>
          <w:b w:val="0"/>
          <w:bCs w:val="0"/>
          <w:iCs w:val="0"/>
          <w:noProof/>
          <w:sz w:val="22"/>
          <w:szCs w:val="22"/>
          <w:lang w:eastAsia="de-DE"/>
        </w:rPr>
      </w:pPr>
      <w:hyperlink w:anchor="_Toc503456485" w:history="1">
        <w:r w:rsidR="004A6862" w:rsidRPr="00CA076C">
          <w:rPr>
            <w:rStyle w:val="Hyperlink"/>
            <w:noProof/>
          </w:rPr>
          <w:t>2</w:t>
        </w:r>
        <w:r w:rsidR="004A6862" w:rsidRPr="00CA076C">
          <w:rPr>
            <w:rFonts w:eastAsiaTheme="minorEastAsia"/>
            <w:b w:val="0"/>
            <w:bCs w:val="0"/>
            <w:iCs w:val="0"/>
            <w:noProof/>
            <w:sz w:val="22"/>
            <w:szCs w:val="22"/>
            <w:lang w:eastAsia="de-DE"/>
          </w:rPr>
          <w:tab/>
        </w:r>
        <w:r w:rsidR="004A6862" w:rsidRPr="00CA076C">
          <w:rPr>
            <w:rStyle w:val="Hyperlink"/>
            <w:noProof/>
          </w:rPr>
          <w:t>Anforderungen der Norm</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_Toc503456485 \h </w:instrText>
        </w:r>
        <w:r w:rsidR="004A6862" w:rsidRPr="00CA076C">
          <w:rPr>
            <w:noProof/>
            <w:webHidden/>
          </w:rPr>
        </w:r>
        <w:r w:rsidR="004A6862" w:rsidRPr="00CA076C">
          <w:rPr>
            <w:noProof/>
            <w:webHidden/>
          </w:rPr>
          <w:fldChar w:fldCharType="separate"/>
        </w:r>
        <w:r w:rsidR="001D39C0" w:rsidRPr="00CA076C">
          <w:rPr>
            <w:noProof/>
            <w:webHidden/>
          </w:rPr>
          <w:t>6</w:t>
        </w:r>
        <w:r w:rsidR="004A6862" w:rsidRPr="00CA076C">
          <w:rPr>
            <w:noProof/>
            <w:webHidden/>
          </w:rPr>
          <w:fldChar w:fldCharType="end"/>
        </w:r>
      </w:hyperlink>
    </w:p>
    <w:p w14:paraId="41759F1F" w14:textId="77777777" w:rsidR="004A6862" w:rsidRPr="00CA076C" w:rsidRDefault="004805AE">
      <w:pPr>
        <w:pStyle w:val="Verzeichnis2"/>
        <w:tabs>
          <w:tab w:val="left" w:pos="880"/>
          <w:tab w:val="right" w:leader="underscore" w:pos="9062"/>
        </w:tabs>
        <w:rPr>
          <w:rFonts w:eastAsiaTheme="minorEastAsia"/>
          <w:b w:val="0"/>
          <w:bCs w:val="0"/>
          <w:noProof/>
          <w:lang w:eastAsia="de-DE"/>
        </w:rPr>
      </w:pPr>
      <w:hyperlink w:anchor="_Toc503456486" w:history="1">
        <w:r w:rsidR="004A6862" w:rsidRPr="00CA076C">
          <w:rPr>
            <w:rStyle w:val="Hyperlink"/>
            <w:noProof/>
          </w:rPr>
          <w:t>2.1</w:t>
        </w:r>
        <w:r w:rsidR="004A6862" w:rsidRPr="00CA076C">
          <w:rPr>
            <w:rFonts w:eastAsiaTheme="minorEastAsia"/>
            <w:b w:val="0"/>
            <w:bCs w:val="0"/>
            <w:noProof/>
            <w:lang w:eastAsia="de-DE"/>
          </w:rPr>
          <w:tab/>
        </w:r>
        <w:r w:rsidR="004A6862" w:rsidRPr="00CA076C">
          <w:rPr>
            <w:rStyle w:val="Hyperlink"/>
            <w:noProof/>
          </w:rPr>
          <w:t>Grundlegende Anforderungen</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_Toc503456486 \h </w:instrText>
        </w:r>
        <w:r w:rsidR="004A6862" w:rsidRPr="00CA076C">
          <w:rPr>
            <w:noProof/>
            <w:webHidden/>
          </w:rPr>
        </w:r>
        <w:r w:rsidR="004A6862" w:rsidRPr="00CA076C">
          <w:rPr>
            <w:noProof/>
            <w:webHidden/>
          </w:rPr>
          <w:fldChar w:fldCharType="separate"/>
        </w:r>
        <w:r w:rsidR="001D39C0" w:rsidRPr="00CA076C">
          <w:rPr>
            <w:noProof/>
            <w:webHidden/>
          </w:rPr>
          <w:t>6</w:t>
        </w:r>
        <w:r w:rsidR="004A6862" w:rsidRPr="00CA076C">
          <w:rPr>
            <w:noProof/>
            <w:webHidden/>
          </w:rPr>
          <w:fldChar w:fldCharType="end"/>
        </w:r>
      </w:hyperlink>
    </w:p>
    <w:p w14:paraId="5866483E" w14:textId="77777777" w:rsidR="004A6862" w:rsidRPr="00CA076C" w:rsidRDefault="004805AE">
      <w:pPr>
        <w:pStyle w:val="Verzeichnis2"/>
        <w:tabs>
          <w:tab w:val="left" w:pos="880"/>
          <w:tab w:val="right" w:leader="underscore" w:pos="9062"/>
        </w:tabs>
        <w:rPr>
          <w:rFonts w:eastAsiaTheme="minorEastAsia"/>
          <w:b w:val="0"/>
          <w:bCs w:val="0"/>
          <w:noProof/>
          <w:lang w:eastAsia="de-DE"/>
        </w:rPr>
      </w:pPr>
      <w:hyperlink w:anchor="_Toc503456487" w:history="1">
        <w:r w:rsidR="004A6862" w:rsidRPr="00CA076C">
          <w:rPr>
            <w:rStyle w:val="Hyperlink"/>
            <w:noProof/>
          </w:rPr>
          <w:t>2.2</w:t>
        </w:r>
        <w:r w:rsidR="004A6862" w:rsidRPr="00CA076C">
          <w:rPr>
            <w:rFonts w:eastAsiaTheme="minorEastAsia"/>
            <w:b w:val="0"/>
            <w:bCs w:val="0"/>
            <w:noProof/>
            <w:lang w:eastAsia="de-DE"/>
          </w:rPr>
          <w:tab/>
        </w:r>
        <w:r w:rsidR="004A6862" w:rsidRPr="00CA076C">
          <w:rPr>
            <w:rStyle w:val="Hyperlink"/>
            <w:noProof/>
          </w:rPr>
          <w:t>Nachweis der Normkonformität</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_Toc503456487 \h </w:instrText>
        </w:r>
        <w:r w:rsidR="004A6862" w:rsidRPr="00CA076C">
          <w:rPr>
            <w:noProof/>
            <w:webHidden/>
          </w:rPr>
        </w:r>
        <w:r w:rsidR="004A6862" w:rsidRPr="00CA076C">
          <w:rPr>
            <w:noProof/>
            <w:webHidden/>
          </w:rPr>
          <w:fldChar w:fldCharType="separate"/>
        </w:r>
        <w:r w:rsidR="001D39C0" w:rsidRPr="00CA076C">
          <w:rPr>
            <w:noProof/>
            <w:webHidden/>
          </w:rPr>
          <w:t>6</w:t>
        </w:r>
        <w:r w:rsidR="004A6862" w:rsidRPr="00CA076C">
          <w:rPr>
            <w:noProof/>
            <w:webHidden/>
          </w:rPr>
          <w:fldChar w:fldCharType="end"/>
        </w:r>
      </w:hyperlink>
    </w:p>
    <w:p w14:paraId="66EE6683" w14:textId="77777777" w:rsidR="004A6862" w:rsidRPr="00CA076C" w:rsidRDefault="004805AE">
      <w:pPr>
        <w:pStyle w:val="Verzeichnis3"/>
        <w:tabs>
          <w:tab w:val="left" w:pos="1100"/>
          <w:tab w:val="right" w:leader="underscore" w:pos="9062"/>
        </w:tabs>
        <w:rPr>
          <w:rFonts w:eastAsiaTheme="minorEastAsia"/>
          <w:noProof/>
          <w:sz w:val="22"/>
          <w:szCs w:val="22"/>
          <w:lang w:eastAsia="de-DE"/>
        </w:rPr>
      </w:pPr>
      <w:hyperlink w:anchor="_Toc503456488" w:history="1">
        <w:r w:rsidR="004A6862" w:rsidRPr="00CA076C">
          <w:rPr>
            <w:rStyle w:val="Hyperlink"/>
            <w:noProof/>
          </w:rPr>
          <w:t>2.2.1</w:t>
        </w:r>
        <w:r w:rsidR="004A6862" w:rsidRPr="00CA076C">
          <w:rPr>
            <w:rFonts w:eastAsiaTheme="minorEastAsia"/>
            <w:noProof/>
            <w:sz w:val="22"/>
            <w:szCs w:val="22"/>
            <w:lang w:eastAsia="de-DE"/>
          </w:rPr>
          <w:tab/>
        </w:r>
        <w:r w:rsidR="004A6862" w:rsidRPr="00CA076C">
          <w:rPr>
            <w:rStyle w:val="Hyperlink"/>
            <w:noProof/>
          </w:rPr>
          <w:t>Verpflichtung zum Nachweis</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_Toc503456488 \h </w:instrText>
        </w:r>
        <w:r w:rsidR="004A6862" w:rsidRPr="00CA076C">
          <w:rPr>
            <w:noProof/>
            <w:webHidden/>
          </w:rPr>
        </w:r>
        <w:r w:rsidR="004A6862" w:rsidRPr="00CA076C">
          <w:rPr>
            <w:noProof/>
            <w:webHidden/>
          </w:rPr>
          <w:fldChar w:fldCharType="separate"/>
        </w:r>
        <w:r w:rsidR="001D39C0" w:rsidRPr="00CA076C">
          <w:rPr>
            <w:noProof/>
            <w:webHidden/>
          </w:rPr>
          <w:t>6</w:t>
        </w:r>
        <w:r w:rsidR="004A6862" w:rsidRPr="00CA076C">
          <w:rPr>
            <w:noProof/>
            <w:webHidden/>
          </w:rPr>
          <w:fldChar w:fldCharType="end"/>
        </w:r>
      </w:hyperlink>
    </w:p>
    <w:p w14:paraId="62DF9052" w14:textId="77777777" w:rsidR="004A6862" w:rsidRPr="00CA076C" w:rsidRDefault="004805AE">
      <w:pPr>
        <w:pStyle w:val="Verzeichnis3"/>
        <w:tabs>
          <w:tab w:val="left" w:pos="1100"/>
          <w:tab w:val="right" w:leader="underscore" w:pos="9062"/>
        </w:tabs>
        <w:rPr>
          <w:rFonts w:eastAsiaTheme="minorEastAsia"/>
          <w:noProof/>
          <w:sz w:val="22"/>
          <w:szCs w:val="22"/>
          <w:lang w:eastAsia="de-DE"/>
        </w:rPr>
      </w:pPr>
      <w:hyperlink w:anchor="_Toc503456489" w:history="1">
        <w:r w:rsidR="004A6862" w:rsidRPr="00CA076C">
          <w:rPr>
            <w:rStyle w:val="Hyperlink"/>
            <w:noProof/>
          </w:rPr>
          <w:t>2.2.2</w:t>
        </w:r>
        <w:r w:rsidR="004A6862" w:rsidRPr="00CA076C">
          <w:rPr>
            <w:rFonts w:eastAsiaTheme="minorEastAsia"/>
            <w:noProof/>
            <w:sz w:val="22"/>
            <w:szCs w:val="22"/>
            <w:lang w:eastAsia="de-DE"/>
          </w:rPr>
          <w:tab/>
        </w:r>
        <w:r w:rsidR="004A6862" w:rsidRPr="00CA076C">
          <w:rPr>
            <w:rStyle w:val="Hyperlink"/>
            <w:noProof/>
          </w:rPr>
          <w:t>Verhaltensregeln und Zertifizierung</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_Toc503456489 \h </w:instrText>
        </w:r>
        <w:r w:rsidR="004A6862" w:rsidRPr="00CA076C">
          <w:rPr>
            <w:noProof/>
            <w:webHidden/>
          </w:rPr>
        </w:r>
        <w:r w:rsidR="004A6862" w:rsidRPr="00CA076C">
          <w:rPr>
            <w:noProof/>
            <w:webHidden/>
          </w:rPr>
          <w:fldChar w:fldCharType="separate"/>
        </w:r>
        <w:r w:rsidR="001D39C0" w:rsidRPr="00CA076C">
          <w:rPr>
            <w:noProof/>
            <w:webHidden/>
          </w:rPr>
          <w:t>6</w:t>
        </w:r>
        <w:r w:rsidR="004A6862" w:rsidRPr="00CA076C">
          <w:rPr>
            <w:noProof/>
            <w:webHidden/>
          </w:rPr>
          <w:fldChar w:fldCharType="end"/>
        </w:r>
      </w:hyperlink>
    </w:p>
    <w:p w14:paraId="35B086BC" w14:textId="77777777" w:rsidR="004A6862" w:rsidRPr="00CA076C" w:rsidRDefault="004805AE">
      <w:pPr>
        <w:pStyle w:val="Verzeichnis1"/>
        <w:tabs>
          <w:tab w:val="left" w:pos="440"/>
          <w:tab w:val="right" w:leader="underscore" w:pos="9062"/>
        </w:tabs>
        <w:rPr>
          <w:rFonts w:eastAsiaTheme="minorEastAsia"/>
          <w:b w:val="0"/>
          <w:bCs w:val="0"/>
          <w:iCs w:val="0"/>
          <w:noProof/>
          <w:sz w:val="22"/>
          <w:szCs w:val="22"/>
          <w:lang w:eastAsia="de-DE"/>
        </w:rPr>
      </w:pPr>
      <w:hyperlink w:anchor="_Toc503456490" w:history="1">
        <w:r w:rsidR="004A6862" w:rsidRPr="00CA076C">
          <w:rPr>
            <w:rStyle w:val="Hyperlink"/>
            <w:noProof/>
          </w:rPr>
          <w:t>3</w:t>
        </w:r>
        <w:r w:rsidR="004A6862" w:rsidRPr="00CA076C">
          <w:rPr>
            <w:rFonts w:eastAsiaTheme="minorEastAsia"/>
            <w:b w:val="0"/>
            <w:bCs w:val="0"/>
            <w:iCs w:val="0"/>
            <w:noProof/>
            <w:sz w:val="22"/>
            <w:szCs w:val="22"/>
            <w:lang w:eastAsia="de-DE"/>
          </w:rPr>
          <w:tab/>
        </w:r>
        <w:r w:rsidR="004A6862" w:rsidRPr="00CA076C">
          <w:rPr>
            <w:rStyle w:val="Hyperlink"/>
            <w:noProof/>
          </w:rPr>
          <w:t>Angemessenes Schutzniveau</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_Toc503456490 \h </w:instrText>
        </w:r>
        <w:r w:rsidR="004A6862" w:rsidRPr="00CA076C">
          <w:rPr>
            <w:noProof/>
            <w:webHidden/>
          </w:rPr>
        </w:r>
        <w:r w:rsidR="004A6862" w:rsidRPr="00CA076C">
          <w:rPr>
            <w:noProof/>
            <w:webHidden/>
          </w:rPr>
          <w:fldChar w:fldCharType="separate"/>
        </w:r>
        <w:r w:rsidR="001D39C0" w:rsidRPr="00CA076C">
          <w:rPr>
            <w:noProof/>
            <w:webHidden/>
          </w:rPr>
          <w:t>7</w:t>
        </w:r>
        <w:r w:rsidR="004A6862" w:rsidRPr="00CA076C">
          <w:rPr>
            <w:noProof/>
            <w:webHidden/>
          </w:rPr>
          <w:fldChar w:fldCharType="end"/>
        </w:r>
      </w:hyperlink>
    </w:p>
    <w:p w14:paraId="502DB82E" w14:textId="77777777" w:rsidR="004A6862" w:rsidRPr="00CA076C" w:rsidRDefault="004805AE">
      <w:pPr>
        <w:pStyle w:val="Verzeichnis2"/>
        <w:tabs>
          <w:tab w:val="left" w:pos="880"/>
          <w:tab w:val="right" w:leader="underscore" w:pos="9062"/>
        </w:tabs>
        <w:rPr>
          <w:rFonts w:eastAsiaTheme="minorEastAsia"/>
          <w:b w:val="0"/>
          <w:bCs w:val="0"/>
          <w:noProof/>
          <w:lang w:eastAsia="de-DE"/>
        </w:rPr>
      </w:pPr>
      <w:hyperlink w:anchor="_Toc503456491" w:history="1">
        <w:r w:rsidR="004A6862" w:rsidRPr="00CA076C">
          <w:rPr>
            <w:rStyle w:val="Hyperlink"/>
            <w:noProof/>
          </w:rPr>
          <w:t>3.1</w:t>
        </w:r>
        <w:r w:rsidR="004A6862" w:rsidRPr="00CA076C">
          <w:rPr>
            <w:rFonts w:eastAsiaTheme="minorEastAsia"/>
            <w:b w:val="0"/>
            <w:bCs w:val="0"/>
            <w:noProof/>
            <w:lang w:eastAsia="de-DE"/>
          </w:rPr>
          <w:tab/>
        </w:r>
        <w:r w:rsidR="004A6862" w:rsidRPr="00CA076C">
          <w:rPr>
            <w:rStyle w:val="Hyperlink"/>
            <w:noProof/>
          </w:rPr>
          <w:t>„Stand der Technik“</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_Toc503456491 \h </w:instrText>
        </w:r>
        <w:r w:rsidR="004A6862" w:rsidRPr="00CA076C">
          <w:rPr>
            <w:noProof/>
            <w:webHidden/>
          </w:rPr>
        </w:r>
        <w:r w:rsidR="004A6862" w:rsidRPr="00CA076C">
          <w:rPr>
            <w:noProof/>
            <w:webHidden/>
          </w:rPr>
          <w:fldChar w:fldCharType="separate"/>
        </w:r>
        <w:r w:rsidR="001D39C0" w:rsidRPr="00CA076C">
          <w:rPr>
            <w:noProof/>
            <w:webHidden/>
          </w:rPr>
          <w:t>7</w:t>
        </w:r>
        <w:r w:rsidR="004A6862" w:rsidRPr="00CA076C">
          <w:rPr>
            <w:noProof/>
            <w:webHidden/>
          </w:rPr>
          <w:fldChar w:fldCharType="end"/>
        </w:r>
      </w:hyperlink>
    </w:p>
    <w:p w14:paraId="04FFAD68" w14:textId="77777777" w:rsidR="004A6862" w:rsidRPr="00CA076C" w:rsidRDefault="004805AE">
      <w:pPr>
        <w:pStyle w:val="Verzeichnis3"/>
        <w:tabs>
          <w:tab w:val="left" w:pos="1100"/>
          <w:tab w:val="right" w:leader="underscore" w:pos="9062"/>
        </w:tabs>
        <w:rPr>
          <w:rFonts w:eastAsiaTheme="minorEastAsia"/>
          <w:noProof/>
          <w:sz w:val="22"/>
          <w:szCs w:val="22"/>
          <w:lang w:eastAsia="de-DE"/>
        </w:rPr>
      </w:pPr>
      <w:hyperlink w:anchor="_Toc503456492" w:history="1">
        <w:r w:rsidR="004A6862" w:rsidRPr="00CA076C">
          <w:rPr>
            <w:rStyle w:val="Hyperlink"/>
            <w:bCs/>
            <w:noProof/>
          </w:rPr>
          <w:t>3.1.1</w:t>
        </w:r>
        <w:r w:rsidR="004A6862" w:rsidRPr="00CA076C">
          <w:rPr>
            <w:rFonts w:eastAsiaTheme="minorEastAsia"/>
            <w:noProof/>
            <w:sz w:val="22"/>
            <w:szCs w:val="22"/>
            <w:lang w:eastAsia="de-DE"/>
          </w:rPr>
          <w:tab/>
        </w:r>
        <w:r w:rsidR="004A6862" w:rsidRPr="00CA076C">
          <w:rPr>
            <w:rStyle w:val="Hyperlink"/>
            <w:bCs/>
            <w:noProof/>
          </w:rPr>
          <w:t>Stand der Technik und Normen</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_Toc503456492 \h </w:instrText>
        </w:r>
        <w:r w:rsidR="004A6862" w:rsidRPr="00CA076C">
          <w:rPr>
            <w:noProof/>
            <w:webHidden/>
          </w:rPr>
        </w:r>
        <w:r w:rsidR="004A6862" w:rsidRPr="00CA076C">
          <w:rPr>
            <w:noProof/>
            <w:webHidden/>
          </w:rPr>
          <w:fldChar w:fldCharType="separate"/>
        </w:r>
        <w:r w:rsidR="001D39C0" w:rsidRPr="00CA076C">
          <w:rPr>
            <w:noProof/>
            <w:webHidden/>
          </w:rPr>
          <w:t>8</w:t>
        </w:r>
        <w:r w:rsidR="004A6862" w:rsidRPr="00CA076C">
          <w:rPr>
            <w:noProof/>
            <w:webHidden/>
          </w:rPr>
          <w:fldChar w:fldCharType="end"/>
        </w:r>
      </w:hyperlink>
    </w:p>
    <w:p w14:paraId="5FAC2973" w14:textId="77777777" w:rsidR="004A6862" w:rsidRPr="00CA076C" w:rsidRDefault="004805AE">
      <w:pPr>
        <w:pStyle w:val="Verzeichnis2"/>
        <w:tabs>
          <w:tab w:val="left" w:pos="880"/>
          <w:tab w:val="right" w:leader="underscore" w:pos="9062"/>
        </w:tabs>
        <w:rPr>
          <w:rFonts w:eastAsiaTheme="minorEastAsia"/>
          <w:b w:val="0"/>
          <w:bCs w:val="0"/>
          <w:noProof/>
          <w:lang w:eastAsia="de-DE"/>
        </w:rPr>
      </w:pPr>
      <w:hyperlink w:anchor="_Toc503456493" w:history="1">
        <w:r w:rsidR="004A6862" w:rsidRPr="00CA076C">
          <w:rPr>
            <w:rStyle w:val="Hyperlink"/>
            <w:noProof/>
          </w:rPr>
          <w:t>3.2</w:t>
        </w:r>
        <w:r w:rsidR="004A6862" w:rsidRPr="00CA076C">
          <w:rPr>
            <w:rFonts w:eastAsiaTheme="minorEastAsia"/>
            <w:b w:val="0"/>
            <w:bCs w:val="0"/>
            <w:noProof/>
            <w:lang w:eastAsia="de-DE"/>
          </w:rPr>
          <w:tab/>
        </w:r>
        <w:r w:rsidR="004A6862" w:rsidRPr="00CA076C">
          <w:rPr>
            <w:rStyle w:val="Hyperlink"/>
            <w:noProof/>
          </w:rPr>
          <w:t>Implementierungskosten: Betriebswirtschaftliche Betrachtung</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_Toc503456493 \h </w:instrText>
        </w:r>
        <w:r w:rsidR="004A6862" w:rsidRPr="00CA076C">
          <w:rPr>
            <w:noProof/>
            <w:webHidden/>
          </w:rPr>
        </w:r>
        <w:r w:rsidR="004A6862" w:rsidRPr="00CA076C">
          <w:rPr>
            <w:noProof/>
            <w:webHidden/>
          </w:rPr>
          <w:fldChar w:fldCharType="separate"/>
        </w:r>
        <w:r w:rsidR="001D39C0" w:rsidRPr="00CA076C">
          <w:rPr>
            <w:noProof/>
            <w:webHidden/>
          </w:rPr>
          <w:t>9</w:t>
        </w:r>
        <w:r w:rsidR="004A6862" w:rsidRPr="00CA076C">
          <w:rPr>
            <w:noProof/>
            <w:webHidden/>
          </w:rPr>
          <w:fldChar w:fldCharType="end"/>
        </w:r>
      </w:hyperlink>
    </w:p>
    <w:p w14:paraId="6ABF033B" w14:textId="77777777" w:rsidR="004A6862" w:rsidRPr="00CA076C" w:rsidRDefault="004805AE">
      <w:pPr>
        <w:pStyle w:val="Verzeichnis3"/>
        <w:tabs>
          <w:tab w:val="left" w:pos="1100"/>
          <w:tab w:val="right" w:leader="underscore" w:pos="9062"/>
        </w:tabs>
        <w:rPr>
          <w:rFonts w:eastAsiaTheme="minorEastAsia"/>
          <w:noProof/>
          <w:sz w:val="22"/>
          <w:szCs w:val="22"/>
          <w:lang w:eastAsia="de-DE"/>
        </w:rPr>
      </w:pPr>
      <w:hyperlink w:anchor="_Toc503456494" w:history="1">
        <w:r w:rsidR="004A6862" w:rsidRPr="00CA076C">
          <w:rPr>
            <w:rStyle w:val="Hyperlink"/>
            <w:noProof/>
          </w:rPr>
          <w:t>3.2.1</w:t>
        </w:r>
        <w:r w:rsidR="004A6862" w:rsidRPr="00CA076C">
          <w:rPr>
            <w:rFonts w:eastAsiaTheme="minorEastAsia"/>
            <w:noProof/>
            <w:sz w:val="22"/>
            <w:szCs w:val="22"/>
            <w:lang w:eastAsia="de-DE"/>
          </w:rPr>
          <w:tab/>
        </w:r>
        <w:r w:rsidR="004A6862" w:rsidRPr="00CA076C">
          <w:rPr>
            <w:rStyle w:val="Hyperlink"/>
            <w:noProof/>
          </w:rPr>
          <w:t>Return on Security Investment</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_Toc503456494 \h </w:instrText>
        </w:r>
        <w:r w:rsidR="004A6862" w:rsidRPr="00CA076C">
          <w:rPr>
            <w:noProof/>
            <w:webHidden/>
          </w:rPr>
        </w:r>
        <w:r w:rsidR="004A6862" w:rsidRPr="00CA076C">
          <w:rPr>
            <w:noProof/>
            <w:webHidden/>
          </w:rPr>
          <w:fldChar w:fldCharType="separate"/>
        </w:r>
        <w:r w:rsidR="001D39C0" w:rsidRPr="00CA076C">
          <w:rPr>
            <w:noProof/>
            <w:webHidden/>
          </w:rPr>
          <w:t>9</w:t>
        </w:r>
        <w:r w:rsidR="004A6862" w:rsidRPr="00CA076C">
          <w:rPr>
            <w:noProof/>
            <w:webHidden/>
          </w:rPr>
          <w:fldChar w:fldCharType="end"/>
        </w:r>
      </w:hyperlink>
    </w:p>
    <w:p w14:paraId="3CEBE233" w14:textId="77777777" w:rsidR="004A6862" w:rsidRPr="00CA076C" w:rsidRDefault="004805AE">
      <w:pPr>
        <w:pStyle w:val="Verzeichnis3"/>
        <w:tabs>
          <w:tab w:val="left" w:pos="1100"/>
          <w:tab w:val="right" w:leader="underscore" w:pos="9062"/>
        </w:tabs>
        <w:rPr>
          <w:rFonts w:eastAsiaTheme="minorEastAsia"/>
          <w:noProof/>
          <w:sz w:val="22"/>
          <w:szCs w:val="22"/>
          <w:lang w:eastAsia="de-DE"/>
        </w:rPr>
      </w:pPr>
      <w:hyperlink w:anchor="_Toc503456495" w:history="1">
        <w:r w:rsidR="004A6862" w:rsidRPr="00CA076C">
          <w:rPr>
            <w:rStyle w:val="Hyperlink"/>
            <w:noProof/>
          </w:rPr>
          <w:t>3.2.2</w:t>
        </w:r>
        <w:r w:rsidR="004A6862" w:rsidRPr="00CA076C">
          <w:rPr>
            <w:rFonts w:eastAsiaTheme="minorEastAsia"/>
            <w:noProof/>
            <w:sz w:val="22"/>
            <w:szCs w:val="22"/>
            <w:lang w:eastAsia="de-DE"/>
          </w:rPr>
          <w:tab/>
        </w:r>
        <w:r w:rsidR="004A6862" w:rsidRPr="00CA076C">
          <w:rPr>
            <w:rStyle w:val="Hyperlink"/>
            <w:noProof/>
          </w:rPr>
          <w:t>Grenzen der RoSI-Methode</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_Toc503456495 \h </w:instrText>
        </w:r>
        <w:r w:rsidR="004A6862" w:rsidRPr="00CA076C">
          <w:rPr>
            <w:noProof/>
            <w:webHidden/>
          </w:rPr>
        </w:r>
        <w:r w:rsidR="004A6862" w:rsidRPr="00CA076C">
          <w:rPr>
            <w:noProof/>
            <w:webHidden/>
          </w:rPr>
          <w:fldChar w:fldCharType="separate"/>
        </w:r>
        <w:r w:rsidR="001D39C0" w:rsidRPr="00CA076C">
          <w:rPr>
            <w:noProof/>
            <w:webHidden/>
          </w:rPr>
          <w:t>10</w:t>
        </w:r>
        <w:r w:rsidR="004A6862" w:rsidRPr="00CA076C">
          <w:rPr>
            <w:noProof/>
            <w:webHidden/>
          </w:rPr>
          <w:fldChar w:fldCharType="end"/>
        </w:r>
      </w:hyperlink>
    </w:p>
    <w:p w14:paraId="40518A5B" w14:textId="77777777" w:rsidR="004A6862" w:rsidRPr="00CA076C" w:rsidRDefault="004805AE">
      <w:pPr>
        <w:pStyle w:val="Verzeichnis2"/>
        <w:tabs>
          <w:tab w:val="left" w:pos="880"/>
          <w:tab w:val="right" w:leader="underscore" w:pos="9062"/>
        </w:tabs>
        <w:rPr>
          <w:rFonts w:eastAsiaTheme="minorEastAsia"/>
          <w:b w:val="0"/>
          <w:bCs w:val="0"/>
          <w:noProof/>
          <w:lang w:eastAsia="de-DE"/>
        </w:rPr>
      </w:pPr>
      <w:hyperlink w:anchor="_Toc503456496" w:history="1">
        <w:r w:rsidR="004A6862" w:rsidRPr="00CA076C">
          <w:rPr>
            <w:rStyle w:val="Hyperlink"/>
            <w:noProof/>
          </w:rPr>
          <w:t>3.3</w:t>
        </w:r>
        <w:r w:rsidR="004A6862" w:rsidRPr="00CA076C">
          <w:rPr>
            <w:rFonts w:eastAsiaTheme="minorEastAsia"/>
            <w:b w:val="0"/>
            <w:bCs w:val="0"/>
            <w:noProof/>
            <w:lang w:eastAsia="de-DE"/>
          </w:rPr>
          <w:tab/>
        </w:r>
        <w:r w:rsidR="004A6862" w:rsidRPr="00CA076C">
          <w:rPr>
            <w:rStyle w:val="Hyperlink"/>
            <w:noProof/>
          </w:rPr>
          <w:t>Art, Umfangs, Umstände und Zwecke der Verarbeitung</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_Toc503456496 \h </w:instrText>
        </w:r>
        <w:r w:rsidR="004A6862" w:rsidRPr="00CA076C">
          <w:rPr>
            <w:noProof/>
            <w:webHidden/>
          </w:rPr>
        </w:r>
        <w:r w:rsidR="004A6862" w:rsidRPr="00CA076C">
          <w:rPr>
            <w:noProof/>
            <w:webHidden/>
          </w:rPr>
          <w:fldChar w:fldCharType="separate"/>
        </w:r>
        <w:r w:rsidR="001D39C0" w:rsidRPr="00CA076C">
          <w:rPr>
            <w:noProof/>
            <w:webHidden/>
          </w:rPr>
          <w:t>11</w:t>
        </w:r>
        <w:r w:rsidR="004A6862" w:rsidRPr="00CA076C">
          <w:rPr>
            <w:noProof/>
            <w:webHidden/>
          </w:rPr>
          <w:fldChar w:fldCharType="end"/>
        </w:r>
      </w:hyperlink>
    </w:p>
    <w:p w14:paraId="13359802" w14:textId="77777777" w:rsidR="004A6862" w:rsidRPr="00CA076C" w:rsidRDefault="004805AE">
      <w:pPr>
        <w:pStyle w:val="Verzeichnis3"/>
        <w:tabs>
          <w:tab w:val="left" w:pos="1100"/>
          <w:tab w:val="right" w:leader="underscore" w:pos="9062"/>
        </w:tabs>
        <w:rPr>
          <w:rFonts w:eastAsiaTheme="minorEastAsia"/>
          <w:noProof/>
          <w:sz w:val="22"/>
          <w:szCs w:val="22"/>
          <w:lang w:eastAsia="de-DE"/>
        </w:rPr>
      </w:pPr>
      <w:hyperlink w:anchor="_Toc503456497" w:history="1">
        <w:r w:rsidR="004A6862" w:rsidRPr="00CA076C">
          <w:rPr>
            <w:rStyle w:val="Hyperlink"/>
            <w:noProof/>
          </w:rPr>
          <w:t>3.3.1</w:t>
        </w:r>
        <w:r w:rsidR="004A6862" w:rsidRPr="00CA076C">
          <w:rPr>
            <w:rFonts w:eastAsiaTheme="minorEastAsia"/>
            <w:noProof/>
            <w:sz w:val="22"/>
            <w:szCs w:val="22"/>
            <w:lang w:eastAsia="de-DE"/>
          </w:rPr>
          <w:tab/>
        </w:r>
        <w:r w:rsidR="004A6862" w:rsidRPr="00CA076C">
          <w:rPr>
            <w:rStyle w:val="Hyperlink"/>
            <w:noProof/>
          </w:rPr>
          <w:t>Verarbeitung</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_Toc503456497 \h </w:instrText>
        </w:r>
        <w:r w:rsidR="004A6862" w:rsidRPr="00CA076C">
          <w:rPr>
            <w:noProof/>
            <w:webHidden/>
          </w:rPr>
        </w:r>
        <w:r w:rsidR="004A6862" w:rsidRPr="00CA076C">
          <w:rPr>
            <w:noProof/>
            <w:webHidden/>
          </w:rPr>
          <w:fldChar w:fldCharType="separate"/>
        </w:r>
        <w:r w:rsidR="001D39C0" w:rsidRPr="00CA076C">
          <w:rPr>
            <w:noProof/>
            <w:webHidden/>
          </w:rPr>
          <w:t>11</w:t>
        </w:r>
        <w:r w:rsidR="004A6862" w:rsidRPr="00CA076C">
          <w:rPr>
            <w:noProof/>
            <w:webHidden/>
          </w:rPr>
          <w:fldChar w:fldCharType="end"/>
        </w:r>
      </w:hyperlink>
    </w:p>
    <w:p w14:paraId="0A153B21" w14:textId="77777777" w:rsidR="004A6862" w:rsidRPr="00CA076C" w:rsidRDefault="004805AE">
      <w:pPr>
        <w:pStyle w:val="Verzeichnis3"/>
        <w:tabs>
          <w:tab w:val="left" w:pos="1100"/>
          <w:tab w:val="right" w:leader="underscore" w:pos="9062"/>
        </w:tabs>
        <w:rPr>
          <w:rFonts w:eastAsiaTheme="minorEastAsia"/>
          <w:noProof/>
          <w:sz w:val="22"/>
          <w:szCs w:val="22"/>
          <w:lang w:eastAsia="de-DE"/>
        </w:rPr>
      </w:pPr>
      <w:hyperlink w:anchor="_Toc503456498" w:history="1">
        <w:r w:rsidR="004A6862" w:rsidRPr="00CA076C">
          <w:rPr>
            <w:rStyle w:val="Hyperlink"/>
            <w:noProof/>
          </w:rPr>
          <w:t>3.3.2</w:t>
        </w:r>
        <w:r w:rsidR="004A6862" w:rsidRPr="00CA076C">
          <w:rPr>
            <w:rFonts w:eastAsiaTheme="minorEastAsia"/>
            <w:noProof/>
            <w:sz w:val="22"/>
            <w:szCs w:val="22"/>
            <w:lang w:eastAsia="de-DE"/>
          </w:rPr>
          <w:tab/>
        </w:r>
        <w:r w:rsidR="004A6862" w:rsidRPr="00CA076C">
          <w:rPr>
            <w:rStyle w:val="Hyperlink"/>
            <w:noProof/>
          </w:rPr>
          <w:t>Art der Verarbeitung</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_Toc503456498 \h </w:instrText>
        </w:r>
        <w:r w:rsidR="004A6862" w:rsidRPr="00CA076C">
          <w:rPr>
            <w:noProof/>
            <w:webHidden/>
          </w:rPr>
        </w:r>
        <w:r w:rsidR="004A6862" w:rsidRPr="00CA076C">
          <w:rPr>
            <w:noProof/>
            <w:webHidden/>
          </w:rPr>
          <w:fldChar w:fldCharType="separate"/>
        </w:r>
        <w:r w:rsidR="001D39C0" w:rsidRPr="00CA076C">
          <w:rPr>
            <w:noProof/>
            <w:webHidden/>
          </w:rPr>
          <w:t>11</w:t>
        </w:r>
        <w:r w:rsidR="004A6862" w:rsidRPr="00CA076C">
          <w:rPr>
            <w:noProof/>
            <w:webHidden/>
          </w:rPr>
          <w:fldChar w:fldCharType="end"/>
        </w:r>
      </w:hyperlink>
    </w:p>
    <w:p w14:paraId="6B8A0F84" w14:textId="77777777" w:rsidR="004A6862" w:rsidRPr="00CA076C" w:rsidRDefault="004805AE">
      <w:pPr>
        <w:pStyle w:val="Verzeichnis3"/>
        <w:tabs>
          <w:tab w:val="left" w:pos="1100"/>
          <w:tab w:val="right" w:leader="underscore" w:pos="9062"/>
        </w:tabs>
        <w:rPr>
          <w:rFonts w:eastAsiaTheme="minorEastAsia"/>
          <w:noProof/>
          <w:sz w:val="22"/>
          <w:szCs w:val="22"/>
          <w:lang w:eastAsia="de-DE"/>
        </w:rPr>
      </w:pPr>
      <w:hyperlink w:anchor="_Toc503456499" w:history="1">
        <w:r w:rsidR="004A6862" w:rsidRPr="00CA076C">
          <w:rPr>
            <w:rStyle w:val="Hyperlink"/>
            <w:noProof/>
          </w:rPr>
          <w:t>3.3.3</w:t>
        </w:r>
        <w:r w:rsidR="004A6862" w:rsidRPr="00CA076C">
          <w:rPr>
            <w:rFonts w:eastAsiaTheme="minorEastAsia"/>
            <w:noProof/>
            <w:sz w:val="22"/>
            <w:szCs w:val="22"/>
            <w:lang w:eastAsia="de-DE"/>
          </w:rPr>
          <w:tab/>
        </w:r>
        <w:r w:rsidR="004A6862" w:rsidRPr="00CA076C">
          <w:rPr>
            <w:rStyle w:val="Hyperlink"/>
            <w:noProof/>
          </w:rPr>
          <w:t>Umfang der Verarbeitung</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_Toc503456499 \h </w:instrText>
        </w:r>
        <w:r w:rsidR="004A6862" w:rsidRPr="00CA076C">
          <w:rPr>
            <w:noProof/>
            <w:webHidden/>
          </w:rPr>
        </w:r>
        <w:r w:rsidR="004A6862" w:rsidRPr="00CA076C">
          <w:rPr>
            <w:noProof/>
            <w:webHidden/>
          </w:rPr>
          <w:fldChar w:fldCharType="separate"/>
        </w:r>
        <w:r w:rsidR="001D39C0" w:rsidRPr="00CA076C">
          <w:rPr>
            <w:noProof/>
            <w:webHidden/>
          </w:rPr>
          <w:t>12</w:t>
        </w:r>
        <w:r w:rsidR="004A6862" w:rsidRPr="00CA076C">
          <w:rPr>
            <w:noProof/>
            <w:webHidden/>
          </w:rPr>
          <w:fldChar w:fldCharType="end"/>
        </w:r>
      </w:hyperlink>
    </w:p>
    <w:p w14:paraId="2A823370" w14:textId="77777777" w:rsidR="004A6862" w:rsidRPr="00CA076C" w:rsidRDefault="004805AE">
      <w:pPr>
        <w:pStyle w:val="Verzeichnis3"/>
        <w:tabs>
          <w:tab w:val="left" w:pos="1100"/>
          <w:tab w:val="right" w:leader="underscore" w:pos="9062"/>
        </w:tabs>
        <w:rPr>
          <w:rFonts w:eastAsiaTheme="minorEastAsia"/>
          <w:noProof/>
          <w:sz w:val="22"/>
          <w:szCs w:val="22"/>
          <w:lang w:eastAsia="de-DE"/>
        </w:rPr>
      </w:pPr>
      <w:hyperlink w:anchor="_Toc503456500" w:history="1">
        <w:r w:rsidR="004A6862" w:rsidRPr="00CA076C">
          <w:rPr>
            <w:rStyle w:val="Hyperlink"/>
            <w:noProof/>
          </w:rPr>
          <w:t>3.3.4</w:t>
        </w:r>
        <w:r w:rsidR="004A6862" w:rsidRPr="00CA076C">
          <w:rPr>
            <w:rFonts w:eastAsiaTheme="minorEastAsia"/>
            <w:noProof/>
            <w:sz w:val="22"/>
            <w:szCs w:val="22"/>
            <w:lang w:eastAsia="de-DE"/>
          </w:rPr>
          <w:tab/>
        </w:r>
        <w:r w:rsidR="004A6862" w:rsidRPr="00CA076C">
          <w:rPr>
            <w:rStyle w:val="Hyperlink"/>
            <w:noProof/>
          </w:rPr>
          <w:t>Umstände der Verarbeitung</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_Toc503456500 \h </w:instrText>
        </w:r>
        <w:r w:rsidR="004A6862" w:rsidRPr="00CA076C">
          <w:rPr>
            <w:noProof/>
            <w:webHidden/>
          </w:rPr>
        </w:r>
        <w:r w:rsidR="004A6862" w:rsidRPr="00CA076C">
          <w:rPr>
            <w:noProof/>
            <w:webHidden/>
          </w:rPr>
          <w:fldChar w:fldCharType="separate"/>
        </w:r>
        <w:r w:rsidR="001D39C0" w:rsidRPr="00CA076C">
          <w:rPr>
            <w:noProof/>
            <w:webHidden/>
          </w:rPr>
          <w:t>13</w:t>
        </w:r>
        <w:r w:rsidR="004A6862" w:rsidRPr="00CA076C">
          <w:rPr>
            <w:noProof/>
            <w:webHidden/>
          </w:rPr>
          <w:fldChar w:fldCharType="end"/>
        </w:r>
      </w:hyperlink>
    </w:p>
    <w:p w14:paraId="5FFC2C86" w14:textId="77777777" w:rsidR="004A6862" w:rsidRPr="00CA076C" w:rsidRDefault="004805AE">
      <w:pPr>
        <w:pStyle w:val="Verzeichnis3"/>
        <w:tabs>
          <w:tab w:val="left" w:pos="1100"/>
          <w:tab w:val="right" w:leader="underscore" w:pos="9062"/>
        </w:tabs>
        <w:rPr>
          <w:rFonts w:eastAsiaTheme="minorEastAsia"/>
          <w:noProof/>
          <w:sz w:val="22"/>
          <w:szCs w:val="22"/>
          <w:lang w:eastAsia="de-DE"/>
        </w:rPr>
      </w:pPr>
      <w:hyperlink w:anchor="_Toc503456501" w:history="1">
        <w:r w:rsidR="004A6862" w:rsidRPr="00CA076C">
          <w:rPr>
            <w:rStyle w:val="Hyperlink"/>
            <w:noProof/>
          </w:rPr>
          <w:t>3.3.5</w:t>
        </w:r>
        <w:r w:rsidR="004A6862" w:rsidRPr="00CA076C">
          <w:rPr>
            <w:rFonts w:eastAsiaTheme="minorEastAsia"/>
            <w:noProof/>
            <w:sz w:val="22"/>
            <w:szCs w:val="22"/>
            <w:lang w:eastAsia="de-DE"/>
          </w:rPr>
          <w:tab/>
        </w:r>
        <w:r w:rsidR="004A6862" w:rsidRPr="00CA076C">
          <w:rPr>
            <w:rStyle w:val="Hyperlink"/>
            <w:noProof/>
          </w:rPr>
          <w:t>Zwecke der Verarbeitung</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_Toc503456501 \h </w:instrText>
        </w:r>
        <w:r w:rsidR="004A6862" w:rsidRPr="00CA076C">
          <w:rPr>
            <w:noProof/>
            <w:webHidden/>
          </w:rPr>
        </w:r>
        <w:r w:rsidR="004A6862" w:rsidRPr="00CA076C">
          <w:rPr>
            <w:noProof/>
            <w:webHidden/>
          </w:rPr>
          <w:fldChar w:fldCharType="separate"/>
        </w:r>
        <w:r w:rsidR="001D39C0" w:rsidRPr="00CA076C">
          <w:rPr>
            <w:noProof/>
            <w:webHidden/>
          </w:rPr>
          <w:t>13</w:t>
        </w:r>
        <w:r w:rsidR="004A6862" w:rsidRPr="00CA076C">
          <w:rPr>
            <w:noProof/>
            <w:webHidden/>
          </w:rPr>
          <w:fldChar w:fldCharType="end"/>
        </w:r>
      </w:hyperlink>
    </w:p>
    <w:p w14:paraId="6844EC8A" w14:textId="77777777" w:rsidR="004A6862" w:rsidRPr="00CA076C" w:rsidRDefault="004805AE">
      <w:pPr>
        <w:pStyle w:val="Verzeichnis2"/>
        <w:tabs>
          <w:tab w:val="left" w:pos="880"/>
          <w:tab w:val="right" w:leader="underscore" w:pos="9062"/>
        </w:tabs>
        <w:rPr>
          <w:rFonts w:eastAsiaTheme="minorEastAsia"/>
          <w:b w:val="0"/>
          <w:bCs w:val="0"/>
          <w:noProof/>
          <w:lang w:eastAsia="de-DE"/>
        </w:rPr>
      </w:pPr>
      <w:hyperlink w:anchor="_Toc503456502" w:history="1">
        <w:r w:rsidR="004A6862" w:rsidRPr="00CA076C">
          <w:rPr>
            <w:rStyle w:val="Hyperlink"/>
            <w:noProof/>
          </w:rPr>
          <w:t>3.4</w:t>
        </w:r>
        <w:r w:rsidR="004A6862" w:rsidRPr="00CA076C">
          <w:rPr>
            <w:rFonts w:eastAsiaTheme="minorEastAsia"/>
            <w:b w:val="0"/>
            <w:bCs w:val="0"/>
            <w:noProof/>
            <w:lang w:eastAsia="de-DE"/>
          </w:rPr>
          <w:tab/>
        </w:r>
        <w:r w:rsidR="004A6862" w:rsidRPr="00CA076C">
          <w:rPr>
            <w:rStyle w:val="Hyperlink"/>
            <w:noProof/>
          </w:rPr>
          <w:t>Eintrittswahrscheinlichkeit und Schwere des Risikos</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_Toc503456502 \h </w:instrText>
        </w:r>
        <w:r w:rsidR="004A6862" w:rsidRPr="00CA076C">
          <w:rPr>
            <w:noProof/>
            <w:webHidden/>
          </w:rPr>
        </w:r>
        <w:r w:rsidR="004A6862" w:rsidRPr="00CA076C">
          <w:rPr>
            <w:noProof/>
            <w:webHidden/>
          </w:rPr>
          <w:fldChar w:fldCharType="separate"/>
        </w:r>
        <w:r w:rsidR="001D39C0" w:rsidRPr="00CA076C">
          <w:rPr>
            <w:noProof/>
            <w:webHidden/>
          </w:rPr>
          <w:t>13</w:t>
        </w:r>
        <w:r w:rsidR="004A6862" w:rsidRPr="00CA076C">
          <w:rPr>
            <w:noProof/>
            <w:webHidden/>
          </w:rPr>
          <w:fldChar w:fldCharType="end"/>
        </w:r>
      </w:hyperlink>
    </w:p>
    <w:p w14:paraId="37335E7F" w14:textId="77777777" w:rsidR="004A6862" w:rsidRPr="00CA076C" w:rsidRDefault="004805AE">
      <w:pPr>
        <w:pStyle w:val="Verzeichnis3"/>
        <w:tabs>
          <w:tab w:val="left" w:pos="1100"/>
          <w:tab w:val="right" w:leader="underscore" w:pos="9062"/>
        </w:tabs>
        <w:rPr>
          <w:rFonts w:eastAsiaTheme="minorEastAsia"/>
          <w:noProof/>
          <w:sz w:val="22"/>
          <w:szCs w:val="22"/>
          <w:lang w:eastAsia="de-DE"/>
        </w:rPr>
      </w:pPr>
      <w:hyperlink w:anchor="_Toc503456503" w:history="1">
        <w:r w:rsidR="004A6862" w:rsidRPr="00CA076C">
          <w:rPr>
            <w:rStyle w:val="Hyperlink"/>
            <w:noProof/>
          </w:rPr>
          <w:t>3.4.1</w:t>
        </w:r>
        <w:r w:rsidR="004A6862" w:rsidRPr="00CA076C">
          <w:rPr>
            <w:rFonts w:eastAsiaTheme="minorEastAsia"/>
            <w:noProof/>
            <w:sz w:val="22"/>
            <w:szCs w:val="22"/>
            <w:lang w:eastAsia="de-DE"/>
          </w:rPr>
          <w:tab/>
        </w:r>
        <w:r w:rsidR="004A6862" w:rsidRPr="00CA076C">
          <w:rPr>
            <w:rStyle w:val="Hyperlink"/>
            <w:noProof/>
          </w:rPr>
          <w:t>Identifizierung der Risiken</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_Toc503456503 \h </w:instrText>
        </w:r>
        <w:r w:rsidR="004A6862" w:rsidRPr="00CA076C">
          <w:rPr>
            <w:noProof/>
            <w:webHidden/>
          </w:rPr>
        </w:r>
        <w:r w:rsidR="004A6862" w:rsidRPr="00CA076C">
          <w:rPr>
            <w:noProof/>
            <w:webHidden/>
          </w:rPr>
          <w:fldChar w:fldCharType="separate"/>
        </w:r>
        <w:r w:rsidR="001D39C0" w:rsidRPr="00CA076C">
          <w:rPr>
            <w:noProof/>
            <w:webHidden/>
          </w:rPr>
          <w:t>14</w:t>
        </w:r>
        <w:r w:rsidR="004A6862" w:rsidRPr="00CA076C">
          <w:rPr>
            <w:noProof/>
            <w:webHidden/>
          </w:rPr>
          <w:fldChar w:fldCharType="end"/>
        </w:r>
      </w:hyperlink>
    </w:p>
    <w:p w14:paraId="48BD0B59" w14:textId="77777777" w:rsidR="004A6862" w:rsidRPr="00CA076C" w:rsidRDefault="004805AE">
      <w:pPr>
        <w:pStyle w:val="Verzeichnis3"/>
        <w:tabs>
          <w:tab w:val="left" w:pos="1100"/>
          <w:tab w:val="right" w:leader="underscore" w:pos="9062"/>
        </w:tabs>
        <w:rPr>
          <w:rFonts w:eastAsiaTheme="minorEastAsia"/>
          <w:noProof/>
          <w:sz w:val="22"/>
          <w:szCs w:val="22"/>
          <w:lang w:eastAsia="de-DE"/>
        </w:rPr>
      </w:pPr>
      <w:hyperlink w:anchor="_Toc503456504" w:history="1">
        <w:r w:rsidR="004A6862" w:rsidRPr="00CA076C">
          <w:rPr>
            <w:rStyle w:val="Hyperlink"/>
            <w:noProof/>
          </w:rPr>
          <w:t>3.4.2</w:t>
        </w:r>
        <w:r w:rsidR="004A6862" w:rsidRPr="00CA076C">
          <w:rPr>
            <w:rFonts w:eastAsiaTheme="minorEastAsia"/>
            <w:noProof/>
            <w:sz w:val="22"/>
            <w:szCs w:val="22"/>
            <w:lang w:eastAsia="de-DE"/>
          </w:rPr>
          <w:tab/>
        </w:r>
        <w:r w:rsidR="004A6862" w:rsidRPr="00CA076C">
          <w:rPr>
            <w:rStyle w:val="Hyperlink"/>
            <w:noProof/>
          </w:rPr>
          <w:t>Quantifizierung der Risiken</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_Toc503456504 \h </w:instrText>
        </w:r>
        <w:r w:rsidR="004A6862" w:rsidRPr="00CA076C">
          <w:rPr>
            <w:noProof/>
            <w:webHidden/>
          </w:rPr>
        </w:r>
        <w:r w:rsidR="004A6862" w:rsidRPr="00CA076C">
          <w:rPr>
            <w:noProof/>
            <w:webHidden/>
          </w:rPr>
          <w:fldChar w:fldCharType="separate"/>
        </w:r>
        <w:r w:rsidR="001D39C0" w:rsidRPr="00CA076C">
          <w:rPr>
            <w:noProof/>
            <w:webHidden/>
          </w:rPr>
          <w:t>16</w:t>
        </w:r>
        <w:r w:rsidR="004A6862" w:rsidRPr="00CA076C">
          <w:rPr>
            <w:noProof/>
            <w:webHidden/>
          </w:rPr>
          <w:fldChar w:fldCharType="end"/>
        </w:r>
      </w:hyperlink>
    </w:p>
    <w:p w14:paraId="17692DAD" w14:textId="77777777" w:rsidR="004A6862" w:rsidRPr="00CA076C" w:rsidRDefault="004805AE">
      <w:pPr>
        <w:pStyle w:val="Verzeichnis3"/>
        <w:tabs>
          <w:tab w:val="left" w:pos="1100"/>
          <w:tab w:val="right" w:leader="underscore" w:pos="9062"/>
        </w:tabs>
        <w:rPr>
          <w:rFonts w:eastAsiaTheme="minorEastAsia"/>
          <w:noProof/>
          <w:sz w:val="22"/>
          <w:szCs w:val="22"/>
          <w:lang w:eastAsia="de-DE"/>
        </w:rPr>
      </w:pPr>
      <w:hyperlink w:anchor="_Toc503456505" w:history="1">
        <w:r w:rsidR="004A6862" w:rsidRPr="00CA076C">
          <w:rPr>
            <w:rStyle w:val="Hyperlink"/>
            <w:noProof/>
          </w:rPr>
          <w:t>3.4.3</w:t>
        </w:r>
        <w:r w:rsidR="004A6862" w:rsidRPr="00CA076C">
          <w:rPr>
            <w:rFonts w:eastAsiaTheme="minorEastAsia"/>
            <w:noProof/>
            <w:sz w:val="22"/>
            <w:szCs w:val="22"/>
            <w:lang w:eastAsia="de-DE"/>
          </w:rPr>
          <w:tab/>
        </w:r>
        <w:r w:rsidR="004A6862" w:rsidRPr="00CA076C">
          <w:rPr>
            <w:rStyle w:val="Hyperlink"/>
            <w:noProof/>
          </w:rPr>
          <w:t>Eintrittswahrscheinlichkeit der Risiken</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_Toc503456505 \h </w:instrText>
        </w:r>
        <w:r w:rsidR="004A6862" w:rsidRPr="00CA076C">
          <w:rPr>
            <w:noProof/>
            <w:webHidden/>
          </w:rPr>
        </w:r>
        <w:r w:rsidR="004A6862" w:rsidRPr="00CA076C">
          <w:rPr>
            <w:noProof/>
            <w:webHidden/>
          </w:rPr>
          <w:fldChar w:fldCharType="separate"/>
        </w:r>
        <w:r w:rsidR="001D39C0" w:rsidRPr="00CA076C">
          <w:rPr>
            <w:noProof/>
            <w:webHidden/>
          </w:rPr>
          <w:t>17</w:t>
        </w:r>
        <w:r w:rsidR="004A6862" w:rsidRPr="00CA076C">
          <w:rPr>
            <w:noProof/>
            <w:webHidden/>
          </w:rPr>
          <w:fldChar w:fldCharType="end"/>
        </w:r>
      </w:hyperlink>
    </w:p>
    <w:p w14:paraId="3909FF3E" w14:textId="77777777" w:rsidR="004A6862" w:rsidRPr="00CA076C" w:rsidRDefault="004805AE">
      <w:pPr>
        <w:pStyle w:val="Verzeichnis3"/>
        <w:tabs>
          <w:tab w:val="left" w:pos="1100"/>
          <w:tab w:val="right" w:leader="underscore" w:pos="9062"/>
        </w:tabs>
        <w:rPr>
          <w:rFonts w:eastAsiaTheme="minorEastAsia"/>
          <w:noProof/>
          <w:sz w:val="22"/>
          <w:szCs w:val="22"/>
          <w:lang w:eastAsia="de-DE"/>
        </w:rPr>
      </w:pPr>
      <w:hyperlink w:anchor="_Toc503456506" w:history="1">
        <w:r w:rsidR="004A6862" w:rsidRPr="00CA076C">
          <w:rPr>
            <w:rStyle w:val="Hyperlink"/>
            <w:noProof/>
          </w:rPr>
          <w:t>3.4.4</w:t>
        </w:r>
        <w:r w:rsidR="004A6862" w:rsidRPr="00CA076C">
          <w:rPr>
            <w:rFonts w:eastAsiaTheme="minorEastAsia"/>
            <w:noProof/>
            <w:sz w:val="22"/>
            <w:szCs w:val="22"/>
            <w:lang w:eastAsia="de-DE"/>
          </w:rPr>
          <w:tab/>
        </w:r>
        <w:r w:rsidR="004A6862" w:rsidRPr="00CA076C">
          <w:rPr>
            <w:rStyle w:val="Hyperlink"/>
            <w:noProof/>
          </w:rPr>
          <w:t>Größe der Risiken</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_Toc503456506 \h </w:instrText>
        </w:r>
        <w:r w:rsidR="004A6862" w:rsidRPr="00CA076C">
          <w:rPr>
            <w:noProof/>
            <w:webHidden/>
          </w:rPr>
        </w:r>
        <w:r w:rsidR="004A6862" w:rsidRPr="00CA076C">
          <w:rPr>
            <w:noProof/>
            <w:webHidden/>
          </w:rPr>
          <w:fldChar w:fldCharType="separate"/>
        </w:r>
        <w:r w:rsidR="001D39C0" w:rsidRPr="00CA076C">
          <w:rPr>
            <w:noProof/>
            <w:webHidden/>
          </w:rPr>
          <w:t>18</w:t>
        </w:r>
        <w:r w:rsidR="004A6862" w:rsidRPr="00CA076C">
          <w:rPr>
            <w:noProof/>
            <w:webHidden/>
          </w:rPr>
          <w:fldChar w:fldCharType="end"/>
        </w:r>
      </w:hyperlink>
    </w:p>
    <w:p w14:paraId="4F91CC9B" w14:textId="77777777" w:rsidR="004A6862" w:rsidRPr="00CA076C" w:rsidRDefault="004805AE">
      <w:pPr>
        <w:pStyle w:val="Verzeichnis2"/>
        <w:tabs>
          <w:tab w:val="left" w:pos="880"/>
          <w:tab w:val="right" w:leader="underscore" w:pos="9062"/>
        </w:tabs>
        <w:rPr>
          <w:rFonts w:eastAsiaTheme="minorEastAsia"/>
          <w:b w:val="0"/>
          <w:bCs w:val="0"/>
          <w:noProof/>
          <w:lang w:eastAsia="de-DE"/>
        </w:rPr>
      </w:pPr>
      <w:hyperlink w:anchor="_Toc503456507" w:history="1">
        <w:r w:rsidR="004A6862" w:rsidRPr="00CA076C">
          <w:rPr>
            <w:rStyle w:val="Hyperlink"/>
            <w:noProof/>
          </w:rPr>
          <w:t>3.5</w:t>
        </w:r>
        <w:r w:rsidR="004A6862" w:rsidRPr="00CA076C">
          <w:rPr>
            <w:rFonts w:eastAsiaTheme="minorEastAsia"/>
            <w:b w:val="0"/>
            <w:bCs w:val="0"/>
            <w:noProof/>
            <w:lang w:eastAsia="de-DE"/>
          </w:rPr>
          <w:tab/>
        </w:r>
        <w:r w:rsidR="004A6862" w:rsidRPr="00CA076C">
          <w:rPr>
            <w:rStyle w:val="Hyperlink"/>
            <w:noProof/>
          </w:rPr>
          <w:t>Geeignetheit und Angemessenheit der Schutzmaßnahmen</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_Toc503456507 \h </w:instrText>
        </w:r>
        <w:r w:rsidR="004A6862" w:rsidRPr="00CA076C">
          <w:rPr>
            <w:noProof/>
            <w:webHidden/>
          </w:rPr>
        </w:r>
        <w:r w:rsidR="004A6862" w:rsidRPr="00CA076C">
          <w:rPr>
            <w:noProof/>
            <w:webHidden/>
          </w:rPr>
          <w:fldChar w:fldCharType="separate"/>
        </w:r>
        <w:r w:rsidR="001D39C0" w:rsidRPr="00CA076C">
          <w:rPr>
            <w:noProof/>
            <w:webHidden/>
          </w:rPr>
          <w:t>18</w:t>
        </w:r>
        <w:r w:rsidR="004A6862" w:rsidRPr="00CA076C">
          <w:rPr>
            <w:noProof/>
            <w:webHidden/>
          </w:rPr>
          <w:fldChar w:fldCharType="end"/>
        </w:r>
      </w:hyperlink>
    </w:p>
    <w:p w14:paraId="27634368" w14:textId="77777777" w:rsidR="004A6862" w:rsidRPr="00CA076C" w:rsidRDefault="004805AE">
      <w:pPr>
        <w:pStyle w:val="Verzeichnis1"/>
        <w:tabs>
          <w:tab w:val="left" w:pos="440"/>
          <w:tab w:val="right" w:leader="underscore" w:pos="9062"/>
        </w:tabs>
        <w:rPr>
          <w:rFonts w:eastAsiaTheme="minorEastAsia"/>
          <w:b w:val="0"/>
          <w:bCs w:val="0"/>
          <w:iCs w:val="0"/>
          <w:noProof/>
          <w:sz w:val="22"/>
          <w:szCs w:val="22"/>
          <w:lang w:eastAsia="de-DE"/>
        </w:rPr>
      </w:pPr>
      <w:hyperlink w:anchor="_Toc503456508" w:history="1">
        <w:r w:rsidR="004A6862" w:rsidRPr="00CA076C">
          <w:rPr>
            <w:rStyle w:val="Hyperlink"/>
            <w:noProof/>
          </w:rPr>
          <w:t>4</w:t>
        </w:r>
        <w:r w:rsidR="004A6862" w:rsidRPr="00CA076C">
          <w:rPr>
            <w:rFonts w:eastAsiaTheme="minorEastAsia"/>
            <w:b w:val="0"/>
            <w:bCs w:val="0"/>
            <w:iCs w:val="0"/>
            <w:noProof/>
            <w:sz w:val="22"/>
            <w:szCs w:val="22"/>
            <w:lang w:eastAsia="de-DE"/>
          </w:rPr>
          <w:tab/>
        </w:r>
        <w:r w:rsidR="004A6862" w:rsidRPr="00CA076C">
          <w:rPr>
            <w:rStyle w:val="Hyperlink"/>
            <w:noProof/>
          </w:rPr>
          <w:t>Anforderungen bzgl. Sicherheit der Verarbeitung</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_Toc503456508 \h </w:instrText>
        </w:r>
        <w:r w:rsidR="004A6862" w:rsidRPr="00CA076C">
          <w:rPr>
            <w:noProof/>
            <w:webHidden/>
          </w:rPr>
        </w:r>
        <w:r w:rsidR="004A6862" w:rsidRPr="00CA076C">
          <w:rPr>
            <w:noProof/>
            <w:webHidden/>
          </w:rPr>
          <w:fldChar w:fldCharType="separate"/>
        </w:r>
        <w:r w:rsidR="001D39C0" w:rsidRPr="00CA076C">
          <w:rPr>
            <w:noProof/>
            <w:webHidden/>
          </w:rPr>
          <w:t>19</w:t>
        </w:r>
        <w:r w:rsidR="004A6862" w:rsidRPr="00CA076C">
          <w:rPr>
            <w:noProof/>
            <w:webHidden/>
          </w:rPr>
          <w:fldChar w:fldCharType="end"/>
        </w:r>
      </w:hyperlink>
    </w:p>
    <w:p w14:paraId="261DB23E" w14:textId="77777777" w:rsidR="004A6862" w:rsidRPr="00CA076C" w:rsidRDefault="004805AE">
      <w:pPr>
        <w:pStyle w:val="Verzeichnis2"/>
        <w:tabs>
          <w:tab w:val="left" w:pos="880"/>
          <w:tab w:val="right" w:leader="underscore" w:pos="9062"/>
        </w:tabs>
        <w:rPr>
          <w:rFonts w:eastAsiaTheme="minorEastAsia"/>
          <w:b w:val="0"/>
          <w:bCs w:val="0"/>
          <w:noProof/>
          <w:lang w:eastAsia="de-DE"/>
        </w:rPr>
      </w:pPr>
      <w:hyperlink w:anchor="_Toc503456509" w:history="1">
        <w:r w:rsidR="004A6862" w:rsidRPr="00CA076C">
          <w:rPr>
            <w:rStyle w:val="Hyperlink"/>
            <w:noProof/>
          </w:rPr>
          <w:t>4.1</w:t>
        </w:r>
        <w:r w:rsidR="004A6862" w:rsidRPr="00CA076C">
          <w:rPr>
            <w:rFonts w:eastAsiaTheme="minorEastAsia"/>
            <w:b w:val="0"/>
            <w:bCs w:val="0"/>
            <w:noProof/>
            <w:lang w:eastAsia="de-DE"/>
          </w:rPr>
          <w:tab/>
        </w:r>
        <w:r w:rsidR="004A6862" w:rsidRPr="00CA076C">
          <w:rPr>
            <w:rStyle w:val="Hyperlink"/>
            <w:noProof/>
          </w:rPr>
          <w:t>Pseudonymisierung</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_Toc503456509 \h </w:instrText>
        </w:r>
        <w:r w:rsidR="004A6862" w:rsidRPr="00CA076C">
          <w:rPr>
            <w:noProof/>
            <w:webHidden/>
          </w:rPr>
        </w:r>
        <w:r w:rsidR="004A6862" w:rsidRPr="00CA076C">
          <w:rPr>
            <w:noProof/>
            <w:webHidden/>
          </w:rPr>
          <w:fldChar w:fldCharType="separate"/>
        </w:r>
        <w:r w:rsidR="001D39C0" w:rsidRPr="00CA076C">
          <w:rPr>
            <w:noProof/>
            <w:webHidden/>
          </w:rPr>
          <w:t>19</w:t>
        </w:r>
        <w:r w:rsidR="004A6862" w:rsidRPr="00CA076C">
          <w:rPr>
            <w:noProof/>
            <w:webHidden/>
          </w:rPr>
          <w:fldChar w:fldCharType="end"/>
        </w:r>
      </w:hyperlink>
    </w:p>
    <w:p w14:paraId="5C4BB69C" w14:textId="77777777" w:rsidR="004A6862" w:rsidRPr="00CA076C" w:rsidRDefault="004805AE">
      <w:pPr>
        <w:pStyle w:val="Verzeichnis3"/>
        <w:tabs>
          <w:tab w:val="left" w:pos="1100"/>
          <w:tab w:val="right" w:leader="underscore" w:pos="9062"/>
        </w:tabs>
        <w:rPr>
          <w:rFonts w:eastAsiaTheme="minorEastAsia"/>
          <w:noProof/>
          <w:sz w:val="22"/>
          <w:szCs w:val="22"/>
          <w:lang w:eastAsia="de-DE"/>
        </w:rPr>
      </w:pPr>
      <w:hyperlink w:anchor="_Toc503456510" w:history="1">
        <w:r w:rsidR="004A6862" w:rsidRPr="00CA076C">
          <w:rPr>
            <w:rStyle w:val="Hyperlink"/>
            <w:noProof/>
          </w:rPr>
          <w:t>4.1.1</w:t>
        </w:r>
        <w:r w:rsidR="004A6862" w:rsidRPr="00CA076C">
          <w:rPr>
            <w:rFonts w:eastAsiaTheme="minorEastAsia"/>
            <w:noProof/>
            <w:sz w:val="22"/>
            <w:szCs w:val="22"/>
            <w:lang w:eastAsia="de-DE"/>
          </w:rPr>
          <w:tab/>
        </w:r>
        <w:r w:rsidR="004A6862" w:rsidRPr="00CA076C">
          <w:rPr>
            <w:rStyle w:val="Hyperlink"/>
            <w:noProof/>
          </w:rPr>
          <w:t>Was bedeutet Pseudonym?</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_Toc503456510 \h </w:instrText>
        </w:r>
        <w:r w:rsidR="004A6862" w:rsidRPr="00CA076C">
          <w:rPr>
            <w:noProof/>
            <w:webHidden/>
          </w:rPr>
        </w:r>
        <w:r w:rsidR="004A6862" w:rsidRPr="00CA076C">
          <w:rPr>
            <w:noProof/>
            <w:webHidden/>
          </w:rPr>
          <w:fldChar w:fldCharType="separate"/>
        </w:r>
        <w:r w:rsidR="001D39C0" w:rsidRPr="00CA076C">
          <w:rPr>
            <w:noProof/>
            <w:webHidden/>
          </w:rPr>
          <w:t>19</w:t>
        </w:r>
        <w:r w:rsidR="004A6862" w:rsidRPr="00CA076C">
          <w:rPr>
            <w:noProof/>
            <w:webHidden/>
          </w:rPr>
          <w:fldChar w:fldCharType="end"/>
        </w:r>
      </w:hyperlink>
    </w:p>
    <w:p w14:paraId="5FA96074" w14:textId="77777777" w:rsidR="004A6862" w:rsidRPr="00CA076C" w:rsidRDefault="004805AE">
      <w:pPr>
        <w:pStyle w:val="Verzeichnis3"/>
        <w:tabs>
          <w:tab w:val="left" w:pos="1100"/>
          <w:tab w:val="right" w:leader="underscore" w:pos="9062"/>
        </w:tabs>
        <w:rPr>
          <w:rFonts w:eastAsiaTheme="minorEastAsia"/>
          <w:noProof/>
          <w:sz w:val="22"/>
          <w:szCs w:val="22"/>
          <w:lang w:eastAsia="de-DE"/>
        </w:rPr>
      </w:pPr>
      <w:hyperlink w:anchor="_Toc503456511" w:history="1">
        <w:r w:rsidR="004A6862" w:rsidRPr="00CA076C">
          <w:rPr>
            <w:rStyle w:val="Hyperlink"/>
            <w:noProof/>
          </w:rPr>
          <w:t>4.1.2</w:t>
        </w:r>
        <w:r w:rsidR="004A6862" w:rsidRPr="00CA076C">
          <w:rPr>
            <w:rFonts w:eastAsiaTheme="minorEastAsia"/>
            <w:noProof/>
            <w:sz w:val="22"/>
            <w:szCs w:val="22"/>
            <w:lang w:eastAsia="de-DE"/>
          </w:rPr>
          <w:tab/>
        </w:r>
        <w:r w:rsidR="004A6862" w:rsidRPr="00CA076C">
          <w:rPr>
            <w:rStyle w:val="Hyperlink"/>
            <w:noProof/>
          </w:rPr>
          <w:t>Arten von Pseudonymen</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_Toc503456511 \h </w:instrText>
        </w:r>
        <w:r w:rsidR="004A6862" w:rsidRPr="00CA076C">
          <w:rPr>
            <w:noProof/>
            <w:webHidden/>
          </w:rPr>
        </w:r>
        <w:r w:rsidR="004A6862" w:rsidRPr="00CA076C">
          <w:rPr>
            <w:noProof/>
            <w:webHidden/>
          </w:rPr>
          <w:fldChar w:fldCharType="separate"/>
        </w:r>
        <w:r w:rsidR="001D39C0" w:rsidRPr="00CA076C">
          <w:rPr>
            <w:noProof/>
            <w:webHidden/>
          </w:rPr>
          <w:t>20</w:t>
        </w:r>
        <w:r w:rsidR="004A6862" w:rsidRPr="00CA076C">
          <w:rPr>
            <w:noProof/>
            <w:webHidden/>
          </w:rPr>
          <w:fldChar w:fldCharType="end"/>
        </w:r>
      </w:hyperlink>
    </w:p>
    <w:p w14:paraId="7FE61D8D" w14:textId="77777777" w:rsidR="004A6862" w:rsidRPr="00CA076C" w:rsidRDefault="004805AE">
      <w:pPr>
        <w:pStyle w:val="Verzeichnis3"/>
        <w:tabs>
          <w:tab w:val="left" w:pos="1100"/>
          <w:tab w:val="right" w:leader="underscore" w:pos="9062"/>
        </w:tabs>
        <w:rPr>
          <w:rFonts w:eastAsiaTheme="minorEastAsia"/>
          <w:noProof/>
          <w:sz w:val="22"/>
          <w:szCs w:val="22"/>
          <w:lang w:eastAsia="de-DE"/>
        </w:rPr>
      </w:pPr>
      <w:hyperlink w:anchor="_Toc503456512" w:history="1">
        <w:r w:rsidR="004A6862" w:rsidRPr="00CA076C">
          <w:rPr>
            <w:rStyle w:val="Hyperlink"/>
            <w:noProof/>
          </w:rPr>
          <w:t>4.1.3</w:t>
        </w:r>
        <w:r w:rsidR="004A6862" w:rsidRPr="00CA076C">
          <w:rPr>
            <w:rFonts w:eastAsiaTheme="minorEastAsia"/>
            <w:noProof/>
            <w:sz w:val="22"/>
            <w:szCs w:val="22"/>
            <w:lang w:eastAsia="de-DE"/>
          </w:rPr>
          <w:tab/>
        </w:r>
        <w:r w:rsidR="004A6862" w:rsidRPr="00CA076C">
          <w:rPr>
            <w:rStyle w:val="Hyperlink"/>
            <w:noProof/>
          </w:rPr>
          <w:t>Güte einer Pseudonymisierung</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_Toc503456512 \h </w:instrText>
        </w:r>
        <w:r w:rsidR="004A6862" w:rsidRPr="00CA076C">
          <w:rPr>
            <w:noProof/>
            <w:webHidden/>
          </w:rPr>
        </w:r>
        <w:r w:rsidR="004A6862" w:rsidRPr="00CA076C">
          <w:rPr>
            <w:noProof/>
            <w:webHidden/>
          </w:rPr>
          <w:fldChar w:fldCharType="separate"/>
        </w:r>
        <w:r w:rsidR="001D39C0" w:rsidRPr="00CA076C">
          <w:rPr>
            <w:noProof/>
            <w:webHidden/>
          </w:rPr>
          <w:t>21</w:t>
        </w:r>
        <w:r w:rsidR="004A6862" w:rsidRPr="00CA076C">
          <w:rPr>
            <w:noProof/>
            <w:webHidden/>
          </w:rPr>
          <w:fldChar w:fldCharType="end"/>
        </w:r>
      </w:hyperlink>
    </w:p>
    <w:p w14:paraId="3A089B24" w14:textId="77777777" w:rsidR="004A6862" w:rsidRPr="00CA076C" w:rsidRDefault="004805AE">
      <w:pPr>
        <w:pStyle w:val="Verzeichnis3"/>
        <w:tabs>
          <w:tab w:val="left" w:pos="1100"/>
          <w:tab w:val="right" w:leader="underscore" w:pos="9062"/>
        </w:tabs>
        <w:rPr>
          <w:rFonts w:eastAsiaTheme="minorEastAsia"/>
          <w:noProof/>
          <w:sz w:val="22"/>
          <w:szCs w:val="22"/>
          <w:lang w:eastAsia="de-DE"/>
        </w:rPr>
      </w:pPr>
      <w:hyperlink w:anchor="_Toc503456513" w:history="1">
        <w:r w:rsidR="004A6862" w:rsidRPr="00CA076C">
          <w:rPr>
            <w:rStyle w:val="Hyperlink"/>
            <w:noProof/>
          </w:rPr>
          <w:t>4.1.4</w:t>
        </w:r>
        <w:r w:rsidR="004A6862" w:rsidRPr="00CA076C">
          <w:rPr>
            <w:rFonts w:eastAsiaTheme="minorEastAsia"/>
            <w:noProof/>
            <w:sz w:val="22"/>
            <w:szCs w:val="22"/>
            <w:lang w:eastAsia="de-DE"/>
          </w:rPr>
          <w:tab/>
        </w:r>
        <w:r w:rsidR="004A6862" w:rsidRPr="00CA076C">
          <w:rPr>
            <w:rStyle w:val="Hyperlink"/>
            <w:noProof/>
          </w:rPr>
          <w:t>Methoden der Pseudonymisierung</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_Toc503456513 \h </w:instrText>
        </w:r>
        <w:r w:rsidR="004A6862" w:rsidRPr="00CA076C">
          <w:rPr>
            <w:noProof/>
            <w:webHidden/>
          </w:rPr>
        </w:r>
        <w:r w:rsidR="004A6862" w:rsidRPr="00CA076C">
          <w:rPr>
            <w:noProof/>
            <w:webHidden/>
          </w:rPr>
          <w:fldChar w:fldCharType="separate"/>
        </w:r>
        <w:r w:rsidR="001D39C0" w:rsidRPr="00CA076C">
          <w:rPr>
            <w:noProof/>
            <w:webHidden/>
          </w:rPr>
          <w:t>21</w:t>
        </w:r>
        <w:r w:rsidR="004A6862" w:rsidRPr="00CA076C">
          <w:rPr>
            <w:noProof/>
            <w:webHidden/>
          </w:rPr>
          <w:fldChar w:fldCharType="end"/>
        </w:r>
      </w:hyperlink>
    </w:p>
    <w:p w14:paraId="773483B9" w14:textId="77777777" w:rsidR="004A6862" w:rsidRPr="00CA076C" w:rsidRDefault="004805AE">
      <w:pPr>
        <w:pStyle w:val="Verzeichnis2"/>
        <w:tabs>
          <w:tab w:val="left" w:pos="880"/>
          <w:tab w:val="right" w:leader="underscore" w:pos="9062"/>
        </w:tabs>
        <w:rPr>
          <w:rFonts w:eastAsiaTheme="minorEastAsia"/>
          <w:b w:val="0"/>
          <w:bCs w:val="0"/>
          <w:noProof/>
          <w:lang w:eastAsia="de-DE"/>
        </w:rPr>
      </w:pPr>
      <w:hyperlink w:anchor="_Toc503456514" w:history="1">
        <w:r w:rsidR="004A6862" w:rsidRPr="00CA076C">
          <w:rPr>
            <w:rStyle w:val="Hyperlink"/>
            <w:noProof/>
          </w:rPr>
          <w:t>4.2</w:t>
        </w:r>
        <w:r w:rsidR="004A6862" w:rsidRPr="00CA076C">
          <w:rPr>
            <w:rFonts w:eastAsiaTheme="minorEastAsia"/>
            <w:b w:val="0"/>
            <w:bCs w:val="0"/>
            <w:noProof/>
            <w:lang w:eastAsia="de-DE"/>
          </w:rPr>
          <w:tab/>
        </w:r>
        <w:r w:rsidR="004A6862" w:rsidRPr="00CA076C">
          <w:rPr>
            <w:rStyle w:val="Hyperlink"/>
            <w:noProof/>
          </w:rPr>
          <w:t>Verschlüsselung</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_Toc503456514 \h </w:instrText>
        </w:r>
        <w:r w:rsidR="004A6862" w:rsidRPr="00CA076C">
          <w:rPr>
            <w:noProof/>
            <w:webHidden/>
          </w:rPr>
        </w:r>
        <w:r w:rsidR="004A6862" w:rsidRPr="00CA076C">
          <w:rPr>
            <w:noProof/>
            <w:webHidden/>
          </w:rPr>
          <w:fldChar w:fldCharType="separate"/>
        </w:r>
        <w:r w:rsidR="001D39C0" w:rsidRPr="00CA076C">
          <w:rPr>
            <w:noProof/>
            <w:webHidden/>
          </w:rPr>
          <w:t>22</w:t>
        </w:r>
        <w:r w:rsidR="004A6862" w:rsidRPr="00CA076C">
          <w:rPr>
            <w:noProof/>
            <w:webHidden/>
          </w:rPr>
          <w:fldChar w:fldCharType="end"/>
        </w:r>
      </w:hyperlink>
    </w:p>
    <w:p w14:paraId="34AE53A2" w14:textId="77777777" w:rsidR="004A6862" w:rsidRPr="00CA076C" w:rsidRDefault="004805AE">
      <w:pPr>
        <w:pStyle w:val="Verzeichnis2"/>
        <w:tabs>
          <w:tab w:val="left" w:pos="880"/>
          <w:tab w:val="right" w:leader="underscore" w:pos="9062"/>
        </w:tabs>
        <w:rPr>
          <w:rFonts w:eastAsiaTheme="minorEastAsia"/>
          <w:b w:val="0"/>
          <w:bCs w:val="0"/>
          <w:noProof/>
          <w:lang w:eastAsia="de-DE"/>
        </w:rPr>
      </w:pPr>
      <w:hyperlink w:anchor="_Toc503456515" w:history="1">
        <w:r w:rsidR="004A6862" w:rsidRPr="00CA076C">
          <w:rPr>
            <w:rStyle w:val="Hyperlink"/>
            <w:noProof/>
          </w:rPr>
          <w:t>4.3</w:t>
        </w:r>
        <w:r w:rsidR="004A6862" w:rsidRPr="00CA076C">
          <w:rPr>
            <w:rFonts w:eastAsiaTheme="minorEastAsia"/>
            <w:b w:val="0"/>
            <w:bCs w:val="0"/>
            <w:noProof/>
            <w:lang w:eastAsia="de-DE"/>
          </w:rPr>
          <w:tab/>
        </w:r>
        <w:r w:rsidR="004A6862" w:rsidRPr="00CA076C">
          <w:rPr>
            <w:rStyle w:val="Hyperlink"/>
            <w:noProof/>
          </w:rPr>
          <w:t>Gewährleistung Fähigkeit, die Vertraulichkeit, Integrität, Verfügbarkeit und Belastbarkeit der Systeme und Dienste</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_Toc503456515 \h </w:instrText>
        </w:r>
        <w:r w:rsidR="004A6862" w:rsidRPr="00CA076C">
          <w:rPr>
            <w:noProof/>
            <w:webHidden/>
          </w:rPr>
        </w:r>
        <w:r w:rsidR="004A6862" w:rsidRPr="00CA076C">
          <w:rPr>
            <w:noProof/>
            <w:webHidden/>
          </w:rPr>
          <w:fldChar w:fldCharType="separate"/>
        </w:r>
        <w:r w:rsidR="001D39C0" w:rsidRPr="00CA076C">
          <w:rPr>
            <w:noProof/>
            <w:webHidden/>
          </w:rPr>
          <w:t>22</w:t>
        </w:r>
        <w:r w:rsidR="004A6862" w:rsidRPr="00CA076C">
          <w:rPr>
            <w:noProof/>
            <w:webHidden/>
          </w:rPr>
          <w:fldChar w:fldCharType="end"/>
        </w:r>
      </w:hyperlink>
    </w:p>
    <w:p w14:paraId="1ECB3868" w14:textId="77777777" w:rsidR="004A6862" w:rsidRPr="00CA076C" w:rsidRDefault="004805AE">
      <w:pPr>
        <w:pStyle w:val="Verzeichnis3"/>
        <w:tabs>
          <w:tab w:val="left" w:pos="1100"/>
          <w:tab w:val="right" w:leader="underscore" w:pos="9062"/>
        </w:tabs>
        <w:rPr>
          <w:rFonts w:eastAsiaTheme="minorEastAsia"/>
          <w:noProof/>
          <w:sz w:val="22"/>
          <w:szCs w:val="22"/>
          <w:lang w:eastAsia="de-DE"/>
        </w:rPr>
      </w:pPr>
      <w:hyperlink w:anchor="_Toc503456516" w:history="1">
        <w:r w:rsidR="004A6862" w:rsidRPr="00CA076C">
          <w:rPr>
            <w:rStyle w:val="Hyperlink"/>
            <w:noProof/>
          </w:rPr>
          <w:t>4.3.1</w:t>
        </w:r>
        <w:r w:rsidR="004A6862" w:rsidRPr="00CA076C">
          <w:rPr>
            <w:rFonts w:eastAsiaTheme="minorEastAsia"/>
            <w:noProof/>
            <w:sz w:val="22"/>
            <w:szCs w:val="22"/>
            <w:lang w:eastAsia="de-DE"/>
          </w:rPr>
          <w:tab/>
        </w:r>
        <w:r w:rsidR="004A6862" w:rsidRPr="00CA076C">
          <w:rPr>
            <w:rStyle w:val="Hyperlink"/>
            <w:noProof/>
          </w:rPr>
          <w:t>Vertraulichkeit der Systeme und Dienste</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_Toc503456516 \h </w:instrText>
        </w:r>
        <w:r w:rsidR="004A6862" w:rsidRPr="00CA076C">
          <w:rPr>
            <w:noProof/>
            <w:webHidden/>
          </w:rPr>
        </w:r>
        <w:r w:rsidR="004A6862" w:rsidRPr="00CA076C">
          <w:rPr>
            <w:noProof/>
            <w:webHidden/>
          </w:rPr>
          <w:fldChar w:fldCharType="separate"/>
        </w:r>
        <w:r w:rsidR="001D39C0" w:rsidRPr="00CA076C">
          <w:rPr>
            <w:noProof/>
            <w:webHidden/>
          </w:rPr>
          <w:t>22</w:t>
        </w:r>
        <w:r w:rsidR="004A6862" w:rsidRPr="00CA076C">
          <w:rPr>
            <w:noProof/>
            <w:webHidden/>
          </w:rPr>
          <w:fldChar w:fldCharType="end"/>
        </w:r>
      </w:hyperlink>
    </w:p>
    <w:p w14:paraId="753FBD5A" w14:textId="77777777" w:rsidR="004A6862" w:rsidRPr="00CA076C" w:rsidRDefault="004805AE">
      <w:pPr>
        <w:pStyle w:val="Verzeichnis3"/>
        <w:tabs>
          <w:tab w:val="left" w:pos="1100"/>
          <w:tab w:val="right" w:leader="underscore" w:pos="9062"/>
        </w:tabs>
        <w:rPr>
          <w:rFonts w:eastAsiaTheme="minorEastAsia"/>
          <w:noProof/>
          <w:sz w:val="22"/>
          <w:szCs w:val="22"/>
          <w:lang w:eastAsia="de-DE"/>
        </w:rPr>
      </w:pPr>
      <w:hyperlink w:anchor="_Toc503456517" w:history="1">
        <w:r w:rsidR="004A6862" w:rsidRPr="00CA076C">
          <w:rPr>
            <w:rStyle w:val="Hyperlink"/>
            <w:noProof/>
          </w:rPr>
          <w:t>4.3.2</w:t>
        </w:r>
        <w:r w:rsidR="004A6862" w:rsidRPr="00CA076C">
          <w:rPr>
            <w:rFonts w:eastAsiaTheme="minorEastAsia"/>
            <w:noProof/>
            <w:sz w:val="22"/>
            <w:szCs w:val="22"/>
            <w:lang w:eastAsia="de-DE"/>
          </w:rPr>
          <w:tab/>
        </w:r>
        <w:r w:rsidR="004A6862" w:rsidRPr="00CA076C">
          <w:rPr>
            <w:rStyle w:val="Hyperlink"/>
            <w:noProof/>
          </w:rPr>
          <w:t>Integrität der Systeme und Dienste</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_Toc503456517 \h </w:instrText>
        </w:r>
        <w:r w:rsidR="004A6862" w:rsidRPr="00CA076C">
          <w:rPr>
            <w:noProof/>
            <w:webHidden/>
          </w:rPr>
        </w:r>
        <w:r w:rsidR="004A6862" w:rsidRPr="00CA076C">
          <w:rPr>
            <w:noProof/>
            <w:webHidden/>
          </w:rPr>
          <w:fldChar w:fldCharType="separate"/>
        </w:r>
        <w:r w:rsidR="001D39C0" w:rsidRPr="00CA076C">
          <w:rPr>
            <w:noProof/>
            <w:webHidden/>
          </w:rPr>
          <w:t>23</w:t>
        </w:r>
        <w:r w:rsidR="004A6862" w:rsidRPr="00CA076C">
          <w:rPr>
            <w:noProof/>
            <w:webHidden/>
          </w:rPr>
          <w:fldChar w:fldCharType="end"/>
        </w:r>
      </w:hyperlink>
    </w:p>
    <w:p w14:paraId="29502227" w14:textId="77777777" w:rsidR="004A6862" w:rsidRPr="00CA076C" w:rsidRDefault="004805AE">
      <w:pPr>
        <w:pStyle w:val="Verzeichnis3"/>
        <w:tabs>
          <w:tab w:val="left" w:pos="1100"/>
          <w:tab w:val="right" w:leader="underscore" w:pos="9062"/>
        </w:tabs>
        <w:rPr>
          <w:rFonts w:eastAsiaTheme="minorEastAsia"/>
          <w:noProof/>
          <w:sz w:val="22"/>
          <w:szCs w:val="22"/>
          <w:lang w:eastAsia="de-DE"/>
        </w:rPr>
      </w:pPr>
      <w:hyperlink w:anchor="_Toc503456518" w:history="1">
        <w:r w:rsidR="004A6862" w:rsidRPr="00CA076C">
          <w:rPr>
            <w:rStyle w:val="Hyperlink"/>
            <w:noProof/>
          </w:rPr>
          <w:t>4.3.3</w:t>
        </w:r>
        <w:r w:rsidR="004A6862" w:rsidRPr="00CA076C">
          <w:rPr>
            <w:rFonts w:eastAsiaTheme="minorEastAsia"/>
            <w:noProof/>
            <w:sz w:val="22"/>
            <w:szCs w:val="22"/>
            <w:lang w:eastAsia="de-DE"/>
          </w:rPr>
          <w:tab/>
        </w:r>
        <w:r w:rsidR="004A6862" w:rsidRPr="00CA076C">
          <w:rPr>
            <w:rStyle w:val="Hyperlink"/>
            <w:noProof/>
          </w:rPr>
          <w:t>Verfügbarkeit der Systeme und Dienste</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_Toc503456518 \h </w:instrText>
        </w:r>
        <w:r w:rsidR="004A6862" w:rsidRPr="00CA076C">
          <w:rPr>
            <w:noProof/>
            <w:webHidden/>
          </w:rPr>
        </w:r>
        <w:r w:rsidR="004A6862" w:rsidRPr="00CA076C">
          <w:rPr>
            <w:noProof/>
            <w:webHidden/>
          </w:rPr>
          <w:fldChar w:fldCharType="separate"/>
        </w:r>
        <w:r w:rsidR="001D39C0" w:rsidRPr="00CA076C">
          <w:rPr>
            <w:noProof/>
            <w:webHidden/>
          </w:rPr>
          <w:t>23</w:t>
        </w:r>
        <w:r w:rsidR="004A6862" w:rsidRPr="00CA076C">
          <w:rPr>
            <w:noProof/>
            <w:webHidden/>
          </w:rPr>
          <w:fldChar w:fldCharType="end"/>
        </w:r>
      </w:hyperlink>
    </w:p>
    <w:p w14:paraId="023B00C6" w14:textId="77777777" w:rsidR="004A6862" w:rsidRPr="00CA076C" w:rsidRDefault="004805AE">
      <w:pPr>
        <w:pStyle w:val="Verzeichnis3"/>
        <w:tabs>
          <w:tab w:val="left" w:pos="1100"/>
          <w:tab w:val="right" w:leader="underscore" w:pos="9062"/>
        </w:tabs>
        <w:rPr>
          <w:rFonts w:eastAsiaTheme="minorEastAsia"/>
          <w:noProof/>
          <w:sz w:val="22"/>
          <w:szCs w:val="22"/>
          <w:lang w:eastAsia="de-DE"/>
        </w:rPr>
      </w:pPr>
      <w:hyperlink w:anchor="_Toc503456519" w:history="1">
        <w:r w:rsidR="004A6862" w:rsidRPr="00CA076C">
          <w:rPr>
            <w:rStyle w:val="Hyperlink"/>
            <w:noProof/>
          </w:rPr>
          <w:t>4.3.4</w:t>
        </w:r>
        <w:r w:rsidR="004A6862" w:rsidRPr="00CA076C">
          <w:rPr>
            <w:rFonts w:eastAsiaTheme="minorEastAsia"/>
            <w:noProof/>
            <w:sz w:val="22"/>
            <w:szCs w:val="22"/>
            <w:lang w:eastAsia="de-DE"/>
          </w:rPr>
          <w:tab/>
        </w:r>
        <w:r w:rsidR="004A6862" w:rsidRPr="00CA076C">
          <w:rPr>
            <w:rStyle w:val="Hyperlink"/>
            <w:noProof/>
          </w:rPr>
          <w:t>Belastbarkeit der Systeme und Dienste</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_Toc503456519 \h </w:instrText>
        </w:r>
        <w:r w:rsidR="004A6862" w:rsidRPr="00CA076C">
          <w:rPr>
            <w:noProof/>
            <w:webHidden/>
          </w:rPr>
        </w:r>
        <w:r w:rsidR="004A6862" w:rsidRPr="00CA076C">
          <w:rPr>
            <w:noProof/>
            <w:webHidden/>
          </w:rPr>
          <w:fldChar w:fldCharType="separate"/>
        </w:r>
        <w:r w:rsidR="001D39C0" w:rsidRPr="00CA076C">
          <w:rPr>
            <w:noProof/>
            <w:webHidden/>
          </w:rPr>
          <w:t>23</w:t>
        </w:r>
        <w:r w:rsidR="004A6862" w:rsidRPr="00CA076C">
          <w:rPr>
            <w:noProof/>
            <w:webHidden/>
          </w:rPr>
          <w:fldChar w:fldCharType="end"/>
        </w:r>
      </w:hyperlink>
    </w:p>
    <w:p w14:paraId="2C994DCC" w14:textId="77777777" w:rsidR="004A6862" w:rsidRPr="00CA076C" w:rsidRDefault="004A6862">
      <w:pPr>
        <w:jc w:val="left"/>
        <w:rPr>
          <w:rStyle w:val="Hyperlink"/>
          <w:b/>
          <w:bCs/>
          <w:noProof/>
        </w:rPr>
      </w:pPr>
      <w:r w:rsidRPr="00CA076C">
        <w:rPr>
          <w:rStyle w:val="Hyperlink"/>
          <w:noProof/>
        </w:rPr>
        <w:br w:type="page"/>
      </w:r>
    </w:p>
    <w:p w14:paraId="104A68DA" w14:textId="77777777" w:rsidR="004A6862" w:rsidRPr="00CA076C" w:rsidRDefault="004805AE">
      <w:pPr>
        <w:pStyle w:val="Verzeichnis2"/>
        <w:tabs>
          <w:tab w:val="left" w:pos="880"/>
          <w:tab w:val="right" w:leader="underscore" w:pos="9062"/>
        </w:tabs>
        <w:rPr>
          <w:rFonts w:eastAsiaTheme="minorEastAsia"/>
          <w:b w:val="0"/>
          <w:bCs w:val="0"/>
          <w:noProof/>
          <w:lang w:eastAsia="de-DE"/>
        </w:rPr>
      </w:pPr>
      <w:hyperlink w:anchor="_Toc503456520" w:history="1">
        <w:r w:rsidR="004A6862" w:rsidRPr="00CA076C">
          <w:rPr>
            <w:rStyle w:val="Hyperlink"/>
            <w:noProof/>
          </w:rPr>
          <w:t>4.4</w:t>
        </w:r>
        <w:r w:rsidR="004A6862" w:rsidRPr="00CA076C">
          <w:rPr>
            <w:rFonts w:eastAsiaTheme="minorEastAsia"/>
            <w:b w:val="0"/>
            <w:bCs w:val="0"/>
            <w:noProof/>
            <w:lang w:eastAsia="de-DE"/>
          </w:rPr>
          <w:tab/>
        </w:r>
        <w:r w:rsidR="004A6862" w:rsidRPr="00CA076C">
          <w:rPr>
            <w:rStyle w:val="Hyperlink"/>
            <w:noProof/>
          </w:rPr>
          <w:t>Recovery: Wiederherstellung der Verfügbarkeit und des Zugangs zu personenbezogenen Daten</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_Toc503456520 \h </w:instrText>
        </w:r>
        <w:r w:rsidR="004A6862" w:rsidRPr="00CA076C">
          <w:rPr>
            <w:noProof/>
            <w:webHidden/>
          </w:rPr>
        </w:r>
        <w:r w:rsidR="004A6862" w:rsidRPr="00CA076C">
          <w:rPr>
            <w:noProof/>
            <w:webHidden/>
          </w:rPr>
          <w:fldChar w:fldCharType="separate"/>
        </w:r>
        <w:r w:rsidR="001D39C0" w:rsidRPr="00CA076C">
          <w:rPr>
            <w:noProof/>
            <w:webHidden/>
          </w:rPr>
          <w:t>23</w:t>
        </w:r>
        <w:r w:rsidR="004A6862" w:rsidRPr="00CA076C">
          <w:rPr>
            <w:noProof/>
            <w:webHidden/>
          </w:rPr>
          <w:fldChar w:fldCharType="end"/>
        </w:r>
      </w:hyperlink>
    </w:p>
    <w:p w14:paraId="11A5203B" w14:textId="77777777" w:rsidR="004A6862" w:rsidRPr="00CA076C" w:rsidRDefault="004805AE">
      <w:pPr>
        <w:pStyle w:val="Verzeichnis2"/>
        <w:tabs>
          <w:tab w:val="left" w:pos="880"/>
          <w:tab w:val="right" w:leader="underscore" w:pos="9062"/>
        </w:tabs>
        <w:rPr>
          <w:rFonts w:eastAsiaTheme="minorEastAsia"/>
          <w:b w:val="0"/>
          <w:bCs w:val="0"/>
          <w:noProof/>
          <w:lang w:eastAsia="de-DE"/>
        </w:rPr>
      </w:pPr>
      <w:hyperlink w:anchor="_Toc503456521" w:history="1">
        <w:r w:rsidR="004A6862" w:rsidRPr="00CA076C">
          <w:rPr>
            <w:rStyle w:val="Hyperlink"/>
            <w:noProof/>
          </w:rPr>
          <w:t>4.5</w:t>
        </w:r>
        <w:r w:rsidR="004A6862" w:rsidRPr="00CA076C">
          <w:rPr>
            <w:rFonts w:eastAsiaTheme="minorEastAsia"/>
            <w:b w:val="0"/>
            <w:bCs w:val="0"/>
            <w:noProof/>
            <w:lang w:eastAsia="de-DE"/>
          </w:rPr>
          <w:tab/>
        </w:r>
        <w:r w:rsidR="004A6862" w:rsidRPr="00CA076C">
          <w:rPr>
            <w:rStyle w:val="Hyperlink"/>
            <w:noProof/>
          </w:rPr>
          <w:t>Regelmäßige Überprüfung, Bewertung und Evaluierung der Wirksamkeit der TOM</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_Toc503456521 \h </w:instrText>
        </w:r>
        <w:r w:rsidR="004A6862" w:rsidRPr="00CA076C">
          <w:rPr>
            <w:noProof/>
            <w:webHidden/>
          </w:rPr>
        </w:r>
        <w:r w:rsidR="004A6862" w:rsidRPr="00CA076C">
          <w:rPr>
            <w:noProof/>
            <w:webHidden/>
          </w:rPr>
          <w:fldChar w:fldCharType="separate"/>
        </w:r>
        <w:r w:rsidR="001D39C0" w:rsidRPr="00CA076C">
          <w:rPr>
            <w:noProof/>
            <w:webHidden/>
          </w:rPr>
          <w:t>24</w:t>
        </w:r>
        <w:r w:rsidR="004A6862" w:rsidRPr="00CA076C">
          <w:rPr>
            <w:noProof/>
            <w:webHidden/>
          </w:rPr>
          <w:fldChar w:fldCharType="end"/>
        </w:r>
      </w:hyperlink>
    </w:p>
    <w:p w14:paraId="06D23148" w14:textId="77777777" w:rsidR="004A6862" w:rsidRPr="00CA076C" w:rsidRDefault="004805AE">
      <w:pPr>
        <w:pStyle w:val="Verzeichnis2"/>
        <w:tabs>
          <w:tab w:val="left" w:pos="880"/>
          <w:tab w:val="right" w:leader="underscore" w:pos="9062"/>
        </w:tabs>
        <w:rPr>
          <w:rFonts w:eastAsiaTheme="minorEastAsia"/>
          <w:b w:val="0"/>
          <w:bCs w:val="0"/>
          <w:noProof/>
          <w:lang w:eastAsia="de-DE"/>
        </w:rPr>
      </w:pPr>
      <w:hyperlink w:anchor="_Toc503456522" w:history="1">
        <w:r w:rsidR="004A6862" w:rsidRPr="00CA076C">
          <w:rPr>
            <w:rStyle w:val="Hyperlink"/>
            <w:noProof/>
          </w:rPr>
          <w:t>4.6</w:t>
        </w:r>
        <w:r w:rsidR="004A6862" w:rsidRPr="00CA076C">
          <w:rPr>
            <w:rFonts w:eastAsiaTheme="minorEastAsia"/>
            <w:b w:val="0"/>
            <w:bCs w:val="0"/>
            <w:noProof/>
            <w:lang w:eastAsia="de-DE"/>
          </w:rPr>
          <w:tab/>
        </w:r>
        <w:r w:rsidR="004A6862" w:rsidRPr="00CA076C">
          <w:rPr>
            <w:rStyle w:val="Hyperlink"/>
            <w:noProof/>
          </w:rPr>
          <w:t>Verarbeitung personenbezogener Daten</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_Toc503456522 \h </w:instrText>
        </w:r>
        <w:r w:rsidR="004A6862" w:rsidRPr="00CA076C">
          <w:rPr>
            <w:noProof/>
            <w:webHidden/>
          </w:rPr>
        </w:r>
        <w:r w:rsidR="004A6862" w:rsidRPr="00CA076C">
          <w:rPr>
            <w:noProof/>
            <w:webHidden/>
          </w:rPr>
          <w:fldChar w:fldCharType="separate"/>
        </w:r>
        <w:r w:rsidR="001D39C0" w:rsidRPr="00CA076C">
          <w:rPr>
            <w:noProof/>
            <w:webHidden/>
          </w:rPr>
          <w:t>24</w:t>
        </w:r>
        <w:r w:rsidR="004A6862" w:rsidRPr="00CA076C">
          <w:rPr>
            <w:noProof/>
            <w:webHidden/>
          </w:rPr>
          <w:fldChar w:fldCharType="end"/>
        </w:r>
      </w:hyperlink>
    </w:p>
    <w:p w14:paraId="48B95353" w14:textId="77777777" w:rsidR="004A6862" w:rsidRPr="00CA076C" w:rsidRDefault="004805AE">
      <w:pPr>
        <w:pStyle w:val="Verzeichnis2"/>
        <w:tabs>
          <w:tab w:val="left" w:pos="880"/>
          <w:tab w:val="right" w:leader="underscore" w:pos="9062"/>
        </w:tabs>
        <w:rPr>
          <w:rFonts w:eastAsiaTheme="minorEastAsia"/>
          <w:b w:val="0"/>
          <w:bCs w:val="0"/>
          <w:noProof/>
          <w:lang w:eastAsia="de-DE"/>
        </w:rPr>
      </w:pPr>
      <w:hyperlink w:anchor="_Toc503456523" w:history="1">
        <w:r w:rsidR="004A6862" w:rsidRPr="00CA076C">
          <w:rPr>
            <w:rStyle w:val="Hyperlink"/>
            <w:noProof/>
          </w:rPr>
          <w:t>4.7</w:t>
        </w:r>
        <w:r w:rsidR="004A6862" w:rsidRPr="00CA076C">
          <w:rPr>
            <w:rFonts w:eastAsiaTheme="minorEastAsia"/>
            <w:b w:val="0"/>
            <w:bCs w:val="0"/>
            <w:noProof/>
            <w:lang w:eastAsia="de-DE"/>
          </w:rPr>
          <w:tab/>
        </w:r>
        <w:r w:rsidR="004A6862" w:rsidRPr="00CA076C">
          <w:rPr>
            <w:rStyle w:val="Hyperlink"/>
            <w:noProof/>
          </w:rPr>
          <w:t>Mapping der technischen und organisatorischen Maßnahmen (TOM): DS-GVO vs. BDSG</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_Toc503456523 \h </w:instrText>
        </w:r>
        <w:r w:rsidR="004A6862" w:rsidRPr="00CA076C">
          <w:rPr>
            <w:noProof/>
            <w:webHidden/>
          </w:rPr>
        </w:r>
        <w:r w:rsidR="004A6862" w:rsidRPr="00CA076C">
          <w:rPr>
            <w:noProof/>
            <w:webHidden/>
          </w:rPr>
          <w:fldChar w:fldCharType="separate"/>
        </w:r>
        <w:r w:rsidR="001D39C0" w:rsidRPr="00CA076C">
          <w:rPr>
            <w:noProof/>
            <w:webHidden/>
          </w:rPr>
          <w:t>25</w:t>
        </w:r>
        <w:r w:rsidR="004A6862" w:rsidRPr="00CA076C">
          <w:rPr>
            <w:noProof/>
            <w:webHidden/>
          </w:rPr>
          <w:fldChar w:fldCharType="end"/>
        </w:r>
      </w:hyperlink>
    </w:p>
    <w:p w14:paraId="08BE6B86" w14:textId="77777777" w:rsidR="004A6862" w:rsidRPr="00CA076C" w:rsidRDefault="004805AE">
      <w:pPr>
        <w:pStyle w:val="Verzeichnis1"/>
        <w:tabs>
          <w:tab w:val="left" w:pos="440"/>
          <w:tab w:val="right" w:leader="underscore" w:pos="9062"/>
        </w:tabs>
        <w:rPr>
          <w:rFonts w:eastAsiaTheme="minorEastAsia"/>
          <w:b w:val="0"/>
          <w:bCs w:val="0"/>
          <w:iCs w:val="0"/>
          <w:noProof/>
          <w:sz w:val="22"/>
          <w:szCs w:val="22"/>
          <w:lang w:eastAsia="de-DE"/>
        </w:rPr>
      </w:pPr>
      <w:hyperlink w:anchor="_Toc503456524" w:history="1">
        <w:r w:rsidR="004A6862" w:rsidRPr="00CA076C">
          <w:rPr>
            <w:rStyle w:val="Hyperlink"/>
            <w:noProof/>
          </w:rPr>
          <w:t>5</w:t>
        </w:r>
        <w:r w:rsidR="004A6862" w:rsidRPr="00CA076C">
          <w:rPr>
            <w:rFonts w:eastAsiaTheme="minorEastAsia"/>
            <w:b w:val="0"/>
            <w:bCs w:val="0"/>
            <w:iCs w:val="0"/>
            <w:noProof/>
            <w:sz w:val="22"/>
            <w:szCs w:val="22"/>
            <w:lang w:eastAsia="de-DE"/>
          </w:rPr>
          <w:tab/>
        </w:r>
        <w:r w:rsidR="004A6862" w:rsidRPr="00CA076C">
          <w:rPr>
            <w:rStyle w:val="Hyperlink"/>
            <w:noProof/>
          </w:rPr>
          <w:t>Sanktionierung</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_Toc503456524 \h </w:instrText>
        </w:r>
        <w:r w:rsidR="004A6862" w:rsidRPr="00CA076C">
          <w:rPr>
            <w:noProof/>
            <w:webHidden/>
          </w:rPr>
        </w:r>
        <w:r w:rsidR="004A6862" w:rsidRPr="00CA076C">
          <w:rPr>
            <w:noProof/>
            <w:webHidden/>
          </w:rPr>
          <w:fldChar w:fldCharType="separate"/>
        </w:r>
        <w:r w:rsidR="001D39C0" w:rsidRPr="00CA076C">
          <w:rPr>
            <w:noProof/>
            <w:webHidden/>
          </w:rPr>
          <w:t>27</w:t>
        </w:r>
        <w:r w:rsidR="004A6862" w:rsidRPr="00CA076C">
          <w:rPr>
            <w:noProof/>
            <w:webHidden/>
          </w:rPr>
          <w:fldChar w:fldCharType="end"/>
        </w:r>
      </w:hyperlink>
    </w:p>
    <w:p w14:paraId="0C2FBB64" w14:textId="77777777" w:rsidR="004A6862" w:rsidRPr="00CA076C" w:rsidRDefault="004805AE">
      <w:pPr>
        <w:pStyle w:val="Verzeichnis1"/>
        <w:tabs>
          <w:tab w:val="left" w:pos="440"/>
          <w:tab w:val="right" w:leader="underscore" w:pos="9062"/>
        </w:tabs>
        <w:rPr>
          <w:rFonts w:eastAsiaTheme="minorEastAsia"/>
          <w:b w:val="0"/>
          <w:bCs w:val="0"/>
          <w:iCs w:val="0"/>
          <w:noProof/>
          <w:sz w:val="22"/>
          <w:szCs w:val="22"/>
          <w:lang w:eastAsia="de-DE"/>
        </w:rPr>
      </w:pPr>
      <w:hyperlink w:anchor="_Toc503456525" w:history="1">
        <w:r w:rsidR="004A6862" w:rsidRPr="00CA076C">
          <w:rPr>
            <w:rStyle w:val="Hyperlink"/>
            <w:noProof/>
          </w:rPr>
          <w:t>6</w:t>
        </w:r>
        <w:r w:rsidR="004A6862" w:rsidRPr="00CA076C">
          <w:rPr>
            <w:rFonts w:eastAsiaTheme="minorEastAsia"/>
            <w:b w:val="0"/>
            <w:bCs w:val="0"/>
            <w:iCs w:val="0"/>
            <w:noProof/>
            <w:sz w:val="22"/>
            <w:szCs w:val="22"/>
            <w:lang w:eastAsia="de-DE"/>
          </w:rPr>
          <w:tab/>
        </w:r>
        <w:r w:rsidR="004A6862" w:rsidRPr="00CA076C">
          <w:rPr>
            <w:rStyle w:val="Hyperlink"/>
            <w:noProof/>
          </w:rPr>
          <w:t>Abkürzungen</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_Toc503456525 \h </w:instrText>
        </w:r>
        <w:r w:rsidR="004A6862" w:rsidRPr="00CA076C">
          <w:rPr>
            <w:noProof/>
            <w:webHidden/>
          </w:rPr>
        </w:r>
        <w:r w:rsidR="004A6862" w:rsidRPr="00CA076C">
          <w:rPr>
            <w:noProof/>
            <w:webHidden/>
          </w:rPr>
          <w:fldChar w:fldCharType="separate"/>
        </w:r>
        <w:r w:rsidR="001D39C0" w:rsidRPr="00CA076C">
          <w:rPr>
            <w:noProof/>
            <w:webHidden/>
          </w:rPr>
          <w:t>30</w:t>
        </w:r>
        <w:r w:rsidR="004A6862" w:rsidRPr="00CA076C">
          <w:rPr>
            <w:noProof/>
            <w:webHidden/>
          </w:rPr>
          <w:fldChar w:fldCharType="end"/>
        </w:r>
      </w:hyperlink>
    </w:p>
    <w:p w14:paraId="1E34984A" w14:textId="77777777" w:rsidR="004A6862" w:rsidRPr="00CA076C" w:rsidRDefault="004805AE">
      <w:pPr>
        <w:pStyle w:val="Verzeichnis1"/>
        <w:tabs>
          <w:tab w:val="left" w:pos="440"/>
          <w:tab w:val="right" w:leader="underscore" w:pos="9062"/>
        </w:tabs>
        <w:rPr>
          <w:rFonts w:eastAsiaTheme="minorEastAsia"/>
          <w:b w:val="0"/>
          <w:bCs w:val="0"/>
          <w:iCs w:val="0"/>
          <w:noProof/>
          <w:sz w:val="22"/>
          <w:szCs w:val="22"/>
          <w:lang w:eastAsia="de-DE"/>
        </w:rPr>
      </w:pPr>
      <w:hyperlink w:anchor="_Toc503456526" w:history="1">
        <w:r w:rsidR="004A6862" w:rsidRPr="00CA076C">
          <w:rPr>
            <w:rStyle w:val="Hyperlink"/>
            <w:noProof/>
          </w:rPr>
          <w:t>7</w:t>
        </w:r>
        <w:r w:rsidR="004A6862" w:rsidRPr="00CA076C">
          <w:rPr>
            <w:rFonts w:eastAsiaTheme="minorEastAsia"/>
            <w:b w:val="0"/>
            <w:bCs w:val="0"/>
            <w:iCs w:val="0"/>
            <w:noProof/>
            <w:sz w:val="22"/>
            <w:szCs w:val="22"/>
            <w:lang w:eastAsia="de-DE"/>
          </w:rPr>
          <w:tab/>
        </w:r>
        <w:r w:rsidR="004A6862" w:rsidRPr="00CA076C">
          <w:rPr>
            <w:rStyle w:val="Hyperlink"/>
            <w:noProof/>
          </w:rPr>
          <w:t>Glossar</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_Toc503456526 \h </w:instrText>
        </w:r>
        <w:r w:rsidR="004A6862" w:rsidRPr="00CA076C">
          <w:rPr>
            <w:noProof/>
            <w:webHidden/>
          </w:rPr>
        </w:r>
        <w:r w:rsidR="004A6862" w:rsidRPr="00CA076C">
          <w:rPr>
            <w:noProof/>
            <w:webHidden/>
          </w:rPr>
          <w:fldChar w:fldCharType="separate"/>
        </w:r>
        <w:r w:rsidR="001D39C0" w:rsidRPr="00CA076C">
          <w:rPr>
            <w:noProof/>
            <w:webHidden/>
          </w:rPr>
          <w:t>31</w:t>
        </w:r>
        <w:r w:rsidR="004A6862" w:rsidRPr="00CA076C">
          <w:rPr>
            <w:noProof/>
            <w:webHidden/>
          </w:rPr>
          <w:fldChar w:fldCharType="end"/>
        </w:r>
      </w:hyperlink>
    </w:p>
    <w:p w14:paraId="62C301C2" w14:textId="77777777" w:rsidR="004A6862" w:rsidRPr="00CA076C" w:rsidRDefault="004805AE">
      <w:pPr>
        <w:pStyle w:val="Verzeichnis1"/>
        <w:tabs>
          <w:tab w:val="left" w:pos="440"/>
          <w:tab w:val="right" w:leader="underscore" w:pos="9062"/>
        </w:tabs>
        <w:rPr>
          <w:rFonts w:eastAsiaTheme="minorEastAsia"/>
          <w:b w:val="0"/>
          <w:bCs w:val="0"/>
          <w:iCs w:val="0"/>
          <w:noProof/>
          <w:sz w:val="22"/>
          <w:szCs w:val="22"/>
          <w:lang w:eastAsia="de-DE"/>
        </w:rPr>
      </w:pPr>
      <w:hyperlink w:anchor="_Toc503456527" w:history="1">
        <w:r w:rsidR="004A6862" w:rsidRPr="00CA076C">
          <w:rPr>
            <w:rStyle w:val="Hyperlink"/>
            <w:noProof/>
          </w:rPr>
          <w:t>8</w:t>
        </w:r>
        <w:r w:rsidR="004A6862" w:rsidRPr="00CA076C">
          <w:rPr>
            <w:rFonts w:eastAsiaTheme="minorEastAsia"/>
            <w:b w:val="0"/>
            <w:bCs w:val="0"/>
            <w:iCs w:val="0"/>
            <w:noProof/>
            <w:sz w:val="22"/>
            <w:szCs w:val="22"/>
            <w:lang w:eastAsia="de-DE"/>
          </w:rPr>
          <w:tab/>
        </w:r>
        <w:r w:rsidR="004A6862" w:rsidRPr="00CA076C">
          <w:rPr>
            <w:rStyle w:val="Hyperlink"/>
            <w:noProof/>
          </w:rPr>
          <w:t>Literatur</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_Toc503456527 \h </w:instrText>
        </w:r>
        <w:r w:rsidR="004A6862" w:rsidRPr="00CA076C">
          <w:rPr>
            <w:noProof/>
            <w:webHidden/>
          </w:rPr>
        </w:r>
        <w:r w:rsidR="004A6862" w:rsidRPr="00CA076C">
          <w:rPr>
            <w:noProof/>
            <w:webHidden/>
          </w:rPr>
          <w:fldChar w:fldCharType="separate"/>
        </w:r>
        <w:r w:rsidR="001D39C0" w:rsidRPr="00CA076C">
          <w:rPr>
            <w:noProof/>
            <w:webHidden/>
          </w:rPr>
          <w:t>34</w:t>
        </w:r>
        <w:r w:rsidR="004A6862" w:rsidRPr="00CA076C">
          <w:rPr>
            <w:noProof/>
            <w:webHidden/>
          </w:rPr>
          <w:fldChar w:fldCharType="end"/>
        </w:r>
      </w:hyperlink>
    </w:p>
    <w:p w14:paraId="6E275620" w14:textId="77777777" w:rsidR="004A6862" w:rsidRPr="00CA076C" w:rsidRDefault="004805AE">
      <w:pPr>
        <w:pStyle w:val="Verzeichnis2"/>
        <w:tabs>
          <w:tab w:val="left" w:pos="880"/>
          <w:tab w:val="right" w:leader="underscore" w:pos="9062"/>
        </w:tabs>
        <w:rPr>
          <w:rFonts w:eastAsiaTheme="minorEastAsia"/>
          <w:b w:val="0"/>
          <w:bCs w:val="0"/>
          <w:noProof/>
          <w:lang w:eastAsia="de-DE"/>
        </w:rPr>
      </w:pPr>
      <w:hyperlink w:anchor="_Toc503456528" w:history="1">
        <w:r w:rsidR="004A6862" w:rsidRPr="00CA076C">
          <w:rPr>
            <w:rStyle w:val="Hyperlink"/>
            <w:noProof/>
          </w:rPr>
          <w:t>8.1</w:t>
        </w:r>
        <w:r w:rsidR="004A6862" w:rsidRPr="00CA076C">
          <w:rPr>
            <w:rFonts w:eastAsiaTheme="minorEastAsia"/>
            <w:b w:val="0"/>
            <w:bCs w:val="0"/>
            <w:noProof/>
            <w:lang w:eastAsia="de-DE"/>
          </w:rPr>
          <w:tab/>
        </w:r>
        <w:r w:rsidR="004A6862" w:rsidRPr="00CA076C">
          <w:rPr>
            <w:rStyle w:val="Hyperlink"/>
            <w:noProof/>
          </w:rPr>
          <w:t>Zeitschriftenartikel</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_Toc503456528 \h </w:instrText>
        </w:r>
        <w:r w:rsidR="004A6862" w:rsidRPr="00CA076C">
          <w:rPr>
            <w:noProof/>
            <w:webHidden/>
          </w:rPr>
        </w:r>
        <w:r w:rsidR="004A6862" w:rsidRPr="00CA076C">
          <w:rPr>
            <w:noProof/>
            <w:webHidden/>
          </w:rPr>
          <w:fldChar w:fldCharType="separate"/>
        </w:r>
        <w:r w:rsidR="001D39C0" w:rsidRPr="00CA076C">
          <w:rPr>
            <w:noProof/>
            <w:webHidden/>
          </w:rPr>
          <w:t>34</w:t>
        </w:r>
        <w:r w:rsidR="004A6862" w:rsidRPr="00CA076C">
          <w:rPr>
            <w:noProof/>
            <w:webHidden/>
          </w:rPr>
          <w:fldChar w:fldCharType="end"/>
        </w:r>
      </w:hyperlink>
    </w:p>
    <w:p w14:paraId="762003FB" w14:textId="77777777" w:rsidR="004A6862" w:rsidRPr="00CA076C" w:rsidRDefault="004805AE">
      <w:pPr>
        <w:pStyle w:val="Verzeichnis2"/>
        <w:tabs>
          <w:tab w:val="left" w:pos="880"/>
          <w:tab w:val="right" w:leader="underscore" w:pos="9062"/>
        </w:tabs>
        <w:rPr>
          <w:rFonts w:eastAsiaTheme="minorEastAsia"/>
          <w:b w:val="0"/>
          <w:bCs w:val="0"/>
          <w:noProof/>
          <w:lang w:eastAsia="de-DE"/>
        </w:rPr>
      </w:pPr>
      <w:hyperlink w:anchor="_Toc503456529" w:history="1">
        <w:r w:rsidR="004A6862" w:rsidRPr="00CA076C">
          <w:rPr>
            <w:rStyle w:val="Hyperlink"/>
            <w:noProof/>
          </w:rPr>
          <w:t>8.2</w:t>
        </w:r>
        <w:r w:rsidR="004A6862" w:rsidRPr="00CA076C">
          <w:rPr>
            <w:rFonts w:eastAsiaTheme="minorEastAsia"/>
            <w:b w:val="0"/>
            <w:bCs w:val="0"/>
            <w:noProof/>
            <w:lang w:eastAsia="de-DE"/>
          </w:rPr>
          <w:tab/>
        </w:r>
        <w:r w:rsidR="004A6862" w:rsidRPr="00CA076C">
          <w:rPr>
            <w:rStyle w:val="Hyperlink"/>
            <w:noProof/>
          </w:rPr>
          <w:t>Internet</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_Toc503456529 \h </w:instrText>
        </w:r>
        <w:r w:rsidR="004A6862" w:rsidRPr="00CA076C">
          <w:rPr>
            <w:noProof/>
            <w:webHidden/>
          </w:rPr>
        </w:r>
        <w:r w:rsidR="004A6862" w:rsidRPr="00CA076C">
          <w:rPr>
            <w:noProof/>
            <w:webHidden/>
          </w:rPr>
          <w:fldChar w:fldCharType="separate"/>
        </w:r>
        <w:r w:rsidR="001D39C0" w:rsidRPr="00CA076C">
          <w:rPr>
            <w:noProof/>
            <w:webHidden/>
          </w:rPr>
          <w:t>35</w:t>
        </w:r>
        <w:r w:rsidR="004A6862" w:rsidRPr="00CA076C">
          <w:rPr>
            <w:noProof/>
            <w:webHidden/>
          </w:rPr>
          <w:fldChar w:fldCharType="end"/>
        </w:r>
      </w:hyperlink>
    </w:p>
    <w:p w14:paraId="4545A5DA" w14:textId="77777777" w:rsidR="004A6862" w:rsidRPr="00CA076C" w:rsidRDefault="004805AE">
      <w:pPr>
        <w:pStyle w:val="Verzeichnis2"/>
        <w:tabs>
          <w:tab w:val="left" w:pos="880"/>
          <w:tab w:val="right" w:leader="underscore" w:pos="9062"/>
        </w:tabs>
        <w:rPr>
          <w:rFonts w:eastAsiaTheme="minorEastAsia"/>
          <w:b w:val="0"/>
          <w:bCs w:val="0"/>
          <w:noProof/>
          <w:lang w:eastAsia="de-DE"/>
        </w:rPr>
      </w:pPr>
      <w:hyperlink w:anchor="_Toc503456530" w:history="1">
        <w:r w:rsidR="004A6862" w:rsidRPr="00CA076C">
          <w:rPr>
            <w:rStyle w:val="Hyperlink"/>
            <w:noProof/>
          </w:rPr>
          <w:t>8.3</w:t>
        </w:r>
        <w:r w:rsidR="004A6862" w:rsidRPr="00CA076C">
          <w:rPr>
            <w:rFonts w:eastAsiaTheme="minorEastAsia"/>
            <w:b w:val="0"/>
            <w:bCs w:val="0"/>
            <w:noProof/>
            <w:lang w:eastAsia="de-DE"/>
          </w:rPr>
          <w:tab/>
        </w:r>
        <w:r w:rsidR="004A6862" w:rsidRPr="00CA076C">
          <w:rPr>
            <w:rStyle w:val="Hyperlink"/>
            <w:noProof/>
          </w:rPr>
          <w:t>Auswahl von Zertifizierungsmöglichkeiten bzgl. IT-Sicherheit</w:t>
        </w:r>
        <w:r w:rsidR="004A6862" w:rsidRPr="00CA076C">
          <w:rPr>
            <w:noProof/>
            <w:webHidden/>
          </w:rPr>
          <w:tab/>
        </w:r>
        <w:r w:rsidR="004A6862" w:rsidRPr="00CA076C">
          <w:rPr>
            <w:noProof/>
            <w:webHidden/>
          </w:rPr>
          <w:fldChar w:fldCharType="begin"/>
        </w:r>
        <w:r w:rsidR="004A6862" w:rsidRPr="00CA076C">
          <w:rPr>
            <w:noProof/>
            <w:webHidden/>
          </w:rPr>
          <w:instrText xml:space="preserve"> PAGEREF _Toc503456530 \h </w:instrText>
        </w:r>
        <w:r w:rsidR="004A6862" w:rsidRPr="00CA076C">
          <w:rPr>
            <w:noProof/>
            <w:webHidden/>
          </w:rPr>
        </w:r>
        <w:r w:rsidR="004A6862" w:rsidRPr="00CA076C">
          <w:rPr>
            <w:noProof/>
            <w:webHidden/>
          </w:rPr>
          <w:fldChar w:fldCharType="separate"/>
        </w:r>
        <w:r w:rsidR="001D39C0" w:rsidRPr="00CA076C">
          <w:rPr>
            <w:noProof/>
            <w:webHidden/>
          </w:rPr>
          <w:t>35</w:t>
        </w:r>
        <w:r w:rsidR="004A6862" w:rsidRPr="00CA076C">
          <w:rPr>
            <w:noProof/>
            <w:webHidden/>
          </w:rPr>
          <w:fldChar w:fldCharType="end"/>
        </w:r>
      </w:hyperlink>
    </w:p>
    <w:p w14:paraId="1BF864CE" w14:textId="77777777" w:rsidR="00D2731D" w:rsidRPr="00CA076C" w:rsidRDefault="00D2731D" w:rsidP="00D2731D">
      <w:r w:rsidRPr="00CA076C">
        <w:fldChar w:fldCharType="end"/>
      </w:r>
    </w:p>
    <w:p w14:paraId="233FE6B0" w14:textId="77777777" w:rsidR="00D2731D" w:rsidRPr="00CA076C" w:rsidRDefault="00D2731D">
      <w:pPr>
        <w:jc w:val="left"/>
        <w:rPr>
          <w:rFonts w:asciiTheme="majorHAnsi" w:eastAsiaTheme="majorEastAsia" w:hAnsiTheme="majorHAnsi" w:cstheme="majorBidi"/>
          <w:b/>
          <w:color w:val="365F91" w:themeColor="accent1" w:themeShade="BF"/>
          <w:sz w:val="32"/>
          <w:szCs w:val="32"/>
        </w:rPr>
      </w:pPr>
      <w:r w:rsidRPr="00CA076C">
        <w:br w:type="page"/>
      </w:r>
    </w:p>
    <w:p w14:paraId="6581BC16" w14:textId="77777777" w:rsidR="00D2731D" w:rsidRPr="00CA076C" w:rsidRDefault="00D2731D" w:rsidP="00FD56B2">
      <w:pPr>
        <w:pStyle w:val="berschrift1"/>
        <w:numPr>
          <w:ilvl w:val="0"/>
          <w:numId w:val="0"/>
        </w:numPr>
      </w:pPr>
      <w:bookmarkStart w:id="71" w:name="_Toc503456483"/>
      <w:r w:rsidRPr="00CA076C">
        <w:lastRenderedPageBreak/>
        <w:t>Zusammenfassung</w:t>
      </w:r>
      <w:bookmarkEnd w:id="71"/>
    </w:p>
    <w:p w14:paraId="3D198324" w14:textId="3E87C644" w:rsidR="009E7014" w:rsidRPr="00CA076C" w:rsidRDefault="00591F02" w:rsidP="002344A2">
      <w:pPr>
        <w:spacing w:after="0"/>
      </w:pPr>
      <w:r w:rsidRPr="00CA076C">
        <w:t xml:space="preserve">Der Schutz natürlicher Personen bei der Verarbeitung personenbezogener Daten ist eines der grundlegenden Ziele der EU Datenschutz-Grundverordnung (DS-GVO), wie man in Art. 1 Abs. 1 DS-GVO) nachlesen kann. Dabei verfolgt die DS-GVO einen Risiko-orientierten Ansatz. Dementsprechend muss neben dem Vorliegen eines Erlaubnistatbestandes und der Einhaltung der Grundsätze des Datenschutzes (Art. 5 DS-GVO) insbesondere auch die Sicherheit der Verarbeitung gewährleistet sein. Dabei </w:t>
      </w:r>
      <w:r w:rsidR="009E7014" w:rsidRPr="00CA076C">
        <w:t xml:space="preserve"> ist nicht das höchstmögliche Maß an Sicherheit der Verarbeitung zu gewährleisten, sondern es muss ein angemessenes Schutzniveau sichergestellt werden</w:t>
      </w:r>
      <w:r w:rsidR="002344A2" w:rsidRPr="00CA076C">
        <w:t xml:space="preserve">: </w:t>
      </w:r>
      <w:r w:rsidRPr="00CA076C">
        <w:t>Art. 32 DS-GVO schreibt vor, dass unter Berücksichtigung</w:t>
      </w:r>
    </w:p>
    <w:p w14:paraId="16C8CC2E" w14:textId="77777777" w:rsidR="009E7014" w:rsidRPr="00CA076C" w:rsidRDefault="009E7014" w:rsidP="009E7014">
      <w:pPr>
        <w:pStyle w:val="Listenabsatz"/>
        <w:numPr>
          <w:ilvl w:val="0"/>
          <w:numId w:val="1"/>
        </w:numPr>
      </w:pPr>
      <w:r w:rsidRPr="00CA076C">
        <w:t>des Stands der Technik,</w:t>
      </w:r>
    </w:p>
    <w:p w14:paraId="304DBADB" w14:textId="77777777" w:rsidR="009E7014" w:rsidRPr="00CA076C" w:rsidRDefault="009E7014" w:rsidP="009E7014">
      <w:pPr>
        <w:pStyle w:val="Listenabsatz"/>
        <w:numPr>
          <w:ilvl w:val="0"/>
          <w:numId w:val="1"/>
        </w:numPr>
      </w:pPr>
      <w:r w:rsidRPr="00CA076C">
        <w:t>der Implementierungskosten,</w:t>
      </w:r>
    </w:p>
    <w:p w14:paraId="31063B9A" w14:textId="77777777" w:rsidR="009E7014" w:rsidRPr="00CA076C" w:rsidRDefault="009E7014" w:rsidP="009E7014">
      <w:pPr>
        <w:pStyle w:val="Listenabsatz"/>
        <w:numPr>
          <w:ilvl w:val="0"/>
          <w:numId w:val="1"/>
        </w:numPr>
      </w:pPr>
      <w:r w:rsidRPr="00CA076C">
        <w:t xml:space="preserve">der Art, des Umfangs, der Umstände und der Zwecke der Verarbeitung sowie </w:t>
      </w:r>
    </w:p>
    <w:p w14:paraId="572946D4" w14:textId="77777777" w:rsidR="009E7014" w:rsidRPr="00CA076C" w:rsidRDefault="009E7014" w:rsidP="009E7014">
      <w:pPr>
        <w:pStyle w:val="Listenabsatz"/>
        <w:numPr>
          <w:ilvl w:val="0"/>
          <w:numId w:val="1"/>
        </w:numPr>
        <w:spacing w:after="0"/>
        <w:ind w:left="714" w:hanging="357"/>
      </w:pPr>
      <w:r w:rsidRPr="00CA076C">
        <w:t>der unterschiedlichen Eintrittswahrscheinlichkeit und Schwere des Risikos für die persönlichen Rechte und Freiheiten</w:t>
      </w:r>
    </w:p>
    <w:p w14:paraId="658F2295" w14:textId="6E68ADCC" w:rsidR="009E7014" w:rsidRPr="00CA076C" w:rsidRDefault="00591F02" w:rsidP="00D2731D">
      <w:r w:rsidRPr="00CA076C">
        <w:rPr>
          <w:u w:val="single"/>
        </w:rPr>
        <w:t>geeignete</w:t>
      </w:r>
      <w:r w:rsidRPr="00CA076C">
        <w:t xml:space="preserve"> technische und organisatorische Maßnahmen getroffen werden müssen, um ein dem </w:t>
      </w:r>
      <w:r w:rsidRPr="00CA076C">
        <w:rPr>
          <w:u w:val="single"/>
        </w:rPr>
        <w:t>Risiko angemessenes Schutzniveau</w:t>
      </w:r>
      <w:r w:rsidRPr="00CA076C">
        <w:t xml:space="preserve"> zu gewährleisten</w:t>
      </w:r>
      <w:r w:rsidR="009E7014" w:rsidRPr="00CA076C">
        <w:t>.</w:t>
      </w:r>
      <w:r w:rsidRPr="00CA076C">
        <w:t xml:space="preserve"> Verantwortlich für die Gewährleistung ist nach Art. 32 DS-GVO sowohl der für die Verarbeitung Verantwortliche als auch – sofern vorhanden - der Auftragsverarbeiter. Letzterer natürlich nur für den Teil, den der Auftragsverarbeiter zu verantworten hat. </w:t>
      </w:r>
      <w:r w:rsidR="00692F51" w:rsidRPr="00CA076C">
        <w:t>A</w:t>
      </w:r>
      <w:r w:rsidRPr="00CA076C">
        <w:t xml:space="preserve">us Art. 5 DS-GVO </w:t>
      </w:r>
      <w:r w:rsidR="00692F51" w:rsidRPr="00CA076C">
        <w:t xml:space="preserve">folgt </w:t>
      </w:r>
      <w:r w:rsidRPr="00CA076C">
        <w:t>eine Nachweispflicht, die aber indirekt auch von Art. 32 Abs. 3 DS-GVO verlangt wird.</w:t>
      </w:r>
    </w:p>
    <w:p w14:paraId="3F2E99BA" w14:textId="77777777" w:rsidR="00AC6524" w:rsidRPr="00CA076C" w:rsidRDefault="00591F02" w:rsidP="00AC6524">
      <w:pPr>
        <w:spacing w:after="0"/>
      </w:pPr>
      <w:r w:rsidRPr="00CA076C">
        <w:t xml:space="preserve">Der Schutz der Daten ist </w:t>
      </w:r>
      <w:r w:rsidR="00AC6524" w:rsidRPr="00CA076C">
        <w:t xml:space="preserve">entsprechend der DS-GVO </w:t>
      </w:r>
      <w:r w:rsidR="002344A2" w:rsidRPr="00CA076C">
        <w:t xml:space="preserve">also </w:t>
      </w:r>
      <w:r w:rsidRPr="00CA076C">
        <w:t>nicht absolut.</w:t>
      </w:r>
      <w:r w:rsidR="00AC6524" w:rsidRPr="00CA076C">
        <w:t xml:space="preserve"> Allerdings </w:t>
      </w:r>
      <w:r w:rsidR="002344A2" w:rsidRPr="00CA076C">
        <w:t>verlangt die</w:t>
      </w:r>
      <w:r w:rsidR="00AC6524" w:rsidRPr="00CA076C">
        <w:t xml:space="preserve"> DS-GVO </w:t>
      </w:r>
      <w:r w:rsidR="002344A2" w:rsidRPr="00CA076C">
        <w:t>auch</w:t>
      </w:r>
      <w:r w:rsidR="00AC6524" w:rsidRPr="00CA076C">
        <w:t>, dass d</w:t>
      </w:r>
      <w:r w:rsidR="002344A2" w:rsidRPr="00CA076C">
        <w:t xml:space="preserve">ieser dem Risiko der Verarbeitung </w:t>
      </w:r>
      <w:r w:rsidR="00AC6524" w:rsidRPr="00CA076C">
        <w:t xml:space="preserve">angemessene Schutz auf Dauer sicherzustellen ist. D. h. </w:t>
      </w:r>
      <w:r w:rsidR="002344A2" w:rsidRPr="00CA076C">
        <w:t>die</w:t>
      </w:r>
    </w:p>
    <w:p w14:paraId="79CC481D" w14:textId="77777777" w:rsidR="00AC6524" w:rsidRPr="00CA076C" w:rsidRDefault="00AC6524" w:rsidP="00AC6524">
      <w:pPr>
        <w:pStyle w:val="Listenabsatz"/>
        <w:numPr>
          <w:ilvl w:val="0"/>
          <w:numId w:val="1"/>
        </w:numPr>
      </w:pPr>
      <w:r w:rsidRPr="00CA076C">
        <w:t>Vertraulichkeit,</w:t>
      </w:r>
    </w:p>
    <w:p w14:paraId="2CF76EAE" w14:textId="77777777" w:rsidR="00AC6524" w:rsidRPr="00CA076C" w:rsidRDefault="00AC6524" w:rsidP="00AC6524">
      <w:pPr>
        <w:pStyle w:val="Listenabsatz"/>
        <w:numPr>
          <w:ilvl w:val="0"/>
          <w:numId w:val="1"/>
        </w:numPr>
      </w:pPr>
      <w:r w:rsidRPr="00CA076C">
        <w:t>Integrität,</w:t>
      </w:r>
    </w:p>
    <w:p w14:paraId="2B5DE3A7" w14:textId="77777777" w:rsidR="00AC6524" w:rsidRPr="00CA076C" w:rsidRDefault="00AC6524" w:rsidP="00AC6524">
      <w:pPr>
        <w:pStyle w:val="Listenabsatz"/>
        <w:numPr>
          <w:ilvl w:val="0"/>
          <w:numId w:val="1"/>
        </w:numPr>
      </w:pPr>
      <w:r w:rsidRPr="00CA076C">
        <w:t>Verfügbarkeit und</w:t>
      </w:r>
    </w:p>
    <w:p w14:paraId="4BF33A5C" w14:textId="77777777" w:rsidR="00AC6524" w:rsidRPr="00CA076C" w:rsidRDefault="00AC6524" w:rsidP="00AC6524">
      <w:pPr>
        <w:pStyle w:val="Listenabsatz"/>
        <w:numPr>
          <w:ilvl w:val="0"/>
          <w:numId w:val="1"/>
        </w:numPr>
        <w:spacing w:after="0"/>
        <w:ind w:left="714" w:hanging="357"/>
      </w:pPr>
      <w:r w:rsidRPr="00CA076C">
        <w:t>Belastbarkeit</w:t>
      </w:r>
    </w:p>
    <w:p w14:paraId="4D12BA35" w14:textId="72826980" w:rsidR="002344A2" w:rsidRPr="00CA076C" w:rsidRDefault="00AC6524" w:rsidP="00AC6524">
      <w:r w:rsidRPr="00CA076C">
        <w:t xml:space="preserve">für Systeme und Dienste im Zusammenhang mit der Verarbeitung der personenbezogenen Daten </w:t>
      </w:r>
      <w:r w:rsidR="002344A2" w:rsidRPr="00CA076C">
        <w:t xml:space="preserve">ist </w:t>
      </w:r>
      <w:r w:rsidRPr="00CA076C">
        <w:t xml:space="preserve">auf Dauer zu gewährleisten. </w:t>
      </w:r>
      <w:r w:rsidR="002344A2" w:rsidRPr="00CA076C">
        <w:t>Demgemäß muss z. B. d</w:t>
      </w:r>
      <w:r w:rsidRPr="00CA076C">
        <w:t xml:space="preserve">ie Verfügbarkeit </w:t>
      </w:r>
      <w:r w:rsidR="00692F51" w:rsidRPr="00CA076C">
        <w:t xml:space="preserve">und der Zugang </w:t>
      </w:r>
      <w:r w:rsidRPr="00CA076C">
        <w:t xml:space="preserve">der personenbezogenen Daten nach einem physischen oder technischen Zwischenfall </w:t>
      </w:r>
      <w:r w:rsidR="002344A2" w:rsidRPr="00CA076C">
        <w:t xml:space="preserve">(angemessen) </w:t>
      </w:r>
      <w:r w:rsidRPr="00CA076C">
        <w:t>„rasch“ wiederherstellbar sein</w:t>
      </w:r>
      <w:r w:rsidR="002344A2" w:rsidRPr="00CA076C">
        <w:t xml:space="preserve">; beides unter dem Aspekt, dass Schäden für </w:t>
      </w:r>
      <w:r w:rsidR="002344A2" w:rsidRPr="00CA076C">
        <w:rPr>
          <w:u w:val="single"/>
        </w:rPr>
        <w:t>die betroffene Person</w:t>
      </w:r>
      <w:r w:rsidR="002344A2" w:rsidRPr="00CA076C">
        <w:t xml:space="preserve"> vermieden werden. Denn während die „klassische“ IT-Sicherheit die (Daten-)Sicherheit des Unternehmens gewährleistet, verlangt Art. 32 DS-GVO eine Betrachtung und Behandlung der Risiken für die betroffenen Personen</w:t>
      </w:r>
      <w:r w:rsidR="001D39C0" w:rsidRPr="00CA076C">
        <w:t>; den Rechten und berechtigten Interessen der von der Verarbe</w:t>
      </w:r>
      <w:r w:rsidR="00086D9C" w:rsidRPr="00CA076C">
        <w:t>i</w:t>
      </w:r>
      <w:r w:rsidR="001D39C0" w:rsidRPr="00CA076C">
        <w:t xml:space="preserve">tung betroffenen Personen und sonstiger von der Verarbeitung betroffener Menschen Rechnung zu tragen. Dabei ist der Begriff der „Verarbeitung“ in der DS-GVO weiter gefasst als im bisherigen deutschen Datenschutzrecht. Unter Verarbeitung ist alles zu verstehen, was mit den Daten geschieht, z.B. Erhebung, Auslesung, Änderung, Speicherung, Löschung – kurz alles, was man </w:t>
      </w:r>
      <w:r w:rsidR="00DB58EA">
        <w:t xml:space="preserve">mit Daten </w:t>
      </w:r>
      <w:r w:rsidR="001D39C0" w:rsidRPr="00CA076C">
        <w:t>tun kann.</w:t>
      </w:r>
    </w:p>
    <w:p w14:paraId="627E5479" w14:textId="77777777" w:rsidR="001D39C0" w:rsidRPr="00CA076C" w:rsidRDefault="001D39C0">
      <w:pPr>
        <w:jc w:val="left"/>
      </w:pPr>
      <w:r w:rsidRPr="00CA076C">
        <w:br w:type="page"/>
      </w:r>
    </w:p>
    <w:p w14:paraId="237BA244" w14:textId="77BFFDDB" w:rsidR="00AC6524" w:rsidRPr="00CA076C" w:rsidRDefault="001D39C0" w:rsidP="00AC6524">
      <w:r w:rsidRPr="00CA076C">
        <w:lastRenderedPageBreak/>
        <w:t xml:space="preserve">Die DS-GVO </w:t>
      </w:r>
      <w:r w:rsidR="00AC6524" w:rsidRPr="00CA076C">
        <w:t xml:space="preserve">verlangt </w:t>
      </w:r>
      <w:r w:rsidRPr="00CA076C">
        <w:t>für die Gewährleistung der Sicherheit der Verarbeitung letztlich</w:t>
      </w:r>
      <w:r w:rsidR="00AC6524" w:rsidRPr="00CA076C">
        <w:t xml:space="preserve"> ein Risikomanagement, welches die Risiken der Verarbeitung für die betroffenen Personen darstellt sowie die Ergreifung von Maßnahmen zur Vermeidung oder – falls dies ohne Verzicht auf die Verarbeitung nicht möglich ist – Minimierung der Risiken auf ein für die betroffenen Personen akzeptables Maß</w:t>
      </w:r>
      <w:r w:rsidR="004B65BB" w:rsidRPr="00CA076C">
        <w:t>.</w:t>
      </w:r>
    </w:p>
    <w:p w14:paraId="590CCB4A" w14:textId="343531B0" w:rsidR="00F37676" w:rsidRPr="00CA076C" w:rsidRDefault="00AC6524" w:rsidP="00D2731D">
      <w:r w:rsidRPr="00CA076C">
        <w:t xml:space="preserve">Fazit: </w:t>
      </w:r>
      <w:r w:rsidR="00F37676" w:rsidRPr="00CA076C">
        <w:t>Datenschutzbeauftragte müssen lernen, dass nicht die höchstmögliche Sicherheit gewährleistet werden muss, Verantwortliche müssen lernen, dass sie nachweisen müssen, warum mögliche Verfahren/Methoden zur Gewährleistung der Sicherheit der Verarbeitung nicht genutzt wurden.</w:t>
      </w:r>
      <w:r w:rsidRPr="00CA076C">
        <w:t xml:space="preserve"> Verantwortliche und – sofern vorhanden – Auftragsverarbeiter müssen das für die Verarbeitung angemessene Schutzniveau für die gesamte Verarbeitungsdauer, d.h. für den gesamten Lebenszyklus der Daten gewährleisten.</w:t>
      </w:r>
    </w:p>
    <w:p w14:paraId="5ADFC5C0" w14:textId="77777777" w:rsidR="00AC6524" w:rsidRPr="00CA076C" w:rsidRDefault="00AC6524" w:rsidP="00AD4530">
      <w:pPr>
        <w:rPr>
          <w:rFonts w:asciiTheme="majorHAnsi" w:eastAsiaTheme="majorEastAsia" w:hAnsiTheme="majorHAnsi" w:cstheme="majorBidi"/>
          <w:color w:val="365F91" w:themeColor="accent1" w:themeShade="BF"/>
          <w:sz w:val="32"/>
          <w:szCs w:val="32"/>
        </w:rPr>
      </w:pPr>
      <w:bookmarkStart w:id="72" w:name="_Toc503456484"/>
      <w:r w:rsidRPr="00CA076C">
        <w:br w:type="page"/>
      </w:r>
    </w:p>
    <w:p w14:paraId="55B237DB" w14:textId="77777777" w:rsidR="00563E98" w:rsidRPr="00CA076C" w:rsidRDefault="00017132" w:rsidP="00563E98">
      <w:pPr>
        <w:pStyle w:val="berschrift1"/>
      </w:pPr>
      <w:r w:rsidRPr="00CA076C">
        <w:lastRenderedPageBreak/>
        <w:t>Einleitung</w:t>
      </w:r>
      <w:bookmarkEnd w:id="72"/>
    </w:p>
    <w:p w14:paraId="3115B5FC" w14:textId="77777777" w:rsidR="008640CD" w:rsidRPr="00CA076C" w:rsidRDefault="008640CD" w:rsidP="000777AD">
      <w:pPr>
        <w:spacing w:after="0"/>
      </w:pPr>
      <w:r w:rsidRPr="00CA076C">
        <w:t xml:space="preserve">Die </w:t>
      </w:r>
      <w:r w:rsidR="006A5EFB" w:rsidRPr="00CA076C">
        <w:t xml:space="preserve">EU </w:t>
      </w:r>
      <w:r w:rsidRPr="00CA076C">
        <w:t xml:space="preserve">Datenschutz-Grundverordnung (DS-GVO) verfolgt einen Risiko-orientierten Ansatz, demgemäß neben dem Vorliegen eines Erlaubnistatbestandes entsprechend Artt. 6 bzw. 9 </w:t>
      </w:r>
      <w:r w:rsidR="006A5EFB" w:rsidRPr="00CA076C">
        <w:t xml:space="preserve">DS-GVO </w:t>
      </w:r>
      <w:r w:rsidRPr="00CA076C">
        <w:t>und der Einhaltung der Grundsätze des Datenschutzes (</w:t>
      </w:r>
      <w:r w:rsidR="00FD56B2" w:rsidRPr="00CA076C">
        <w:t>Art. </w:t>
      </w:r>
      <w:r w:rsidRPr="00CA076C">
        <w:t>5</w:t>
      </w:r>
      <w:r w:rsidR="006A5EFB" w:rsidRPr="00CA076C">
        <w:t xml:space="preserve"> DS-GVO</w:t>
      </w:r>
      <w:r w:rsidRPr="00CA076C">
        <w:t xml:space="preserve">) auch die Sicherheit der Verarbeitung gewährleistet ist, </w:t>
      </w:r>
      <w:r w:rsidR="00CB4359" w:rsidRPr="00CA076C">
        <w:t>D. h.</w:t>
      </w:r>
      <w:r w:rsidRPr="00CA076C">
        <w:t xml:space="preserve"> der Schutz natürlicher Personen bei der Verarbeitung personenbezogener Daten muss gewährleistet sein (</w:t>
      </w:r>
      <w:r w:rsidR="00FD56B2" w:rsidRPr="00CA076C">
        <w:t>Art. </w:t>
      </w:r>
      <w:r w:rsidRPr="00CA076C">
        <w:t xml:space="preserve">1 </w:t>
      </w:r>
      <w:r w:rsidR="00FD56B2" w:rsidRPr="00CA076C">
        <w:t>Abs. </w:t>
      </w:r>
      <w:r w:rsidRPr="00CA076C">
        <w:t>1 DS-GVO).</w:t>
      </w:r>
    </w:p>
    <w:p w14:paraId="28F34DD4" w14:textId="77777777" w:rsidR="000777AD" w:rsidRPr="00CA076C" w:rsidRDefault="00FD56B2" w:rsidP="000777AD">
      <w:pPr>
        <w:spacing w:after="0"/>
      </w:pPr>
      <w:r w:rsidRPr="00CA076C">
        <w:t>Art. </w:t>
      </w:r>
      <w:r w:rsidR="000777AD" w:rsidRPr="00CA076C">
        <w:t>32 DS-GVO schreibt vor, dass sowohl der für die Verarbeitung Verantwortliche als auch – sofern vorhanden - der Auftragsverarbeiter unter Berücksichtigung</w:t>
      </w:r>
    </w:p>
    <w:p w14:paraId="18FD8A38" w14:textId="77777777" w:rsidR="000777AD" w:rsidRPr="00CA076C" w:rsidRDefault="000777AD" w:rsidP="000777AD">
      <w:pPr>
        <w:pStyle w:val="Listenabsatz"/>
        <w:numPr>
          <w:ilvl w:val="0"/>
          <w:numId w:val="1"/>
        </w:numPr>
      </w:pPr>
      <w:r w:rsidRPr="00CA076C">
        <w:t>des Stands der Technik,</w:t>
      </w:r>
    </w:p>
    <w:p w14:paraId="51AC55C4" w14:textId="77777777" w:rsidR="000777AD" w:rsidRPr="00CA076C" w:rsidRDefault="000777AD" w:rsidP="000777AD">
      <w:pPr>
        <w:pStyle w:val="Listenabsatz"/>
        <w:numPr>
          <w:ilvl w:val="0"/>
          <w:numId w:val="1"/>
        </w:numPr>
      </w:pPr>
      <w:r w:rsidRPr="00CA076C">
        <w:t>der Implementierungskosten,</w:t>
      </w:r>
    </w:p>
    <w:p w14:paraId="5B632EB9" w14:textId="77777777" w:rsidR="000777AD" w:rsidRPr="00CA076C" w:rsidRDefault="000777AD" w:rsidP="000777AD">
      <w:pPr>
        <w:pStyle w:val="Listenabsatz"/>
        <w:numPr>
          <w:ilvl w:val="0"/>
          <w:numId w:val="1"/>
        </w:numPr>
      </w:pPr>
      <w:r w:rsidRPr="00CA076C">
        <w:t xml:space="preserve">der Art, des Umfangs, der Umstände und der Zwecke der Verarbeitung sowie </w:t>
      </w:r>
    </w:p>
    <w:p w14:paraId="070445FA" w14:textId="77777777" w:rsidR="000777AD" w:rsidRPr="00CA076C" w:rsidRDefault="000777AD" w:rsidP="000777AD">
      <w:pPr>
        <w:pStyle w:val="Listenabsatz"/>
        <w:numPr>
          <w:ilvl w:val="0"/>
          <w:numId w:val="1"/>
        </w:numPr>
        <w:spacing w:after="0"/>
        <w:ind w:left="714" w:hanging="357"/>
      </w:pPr>
      <w:r w:rsidRPr="00CA076C">
        <w:t>der unterschiedlichen Eintrittswahrscheinlichkeit und Schwere des Risikos für die persönlichen Rechte und Freiheiten</w:t>
      </w:r>
    </w:p>
    <w:p w14:paraId="49FD4855" w14:textId="77777777" w:rsidR="000777AD" w:rsidRPr="00CA076C" w:rsidRDefault="000777AD" w:rsidP="003838B6">
      <w:pPr>
        <w:spacing w:after="0"/>
      </w:pPr>
      <w:r w:rsidRPr="00CA076C">
        <w:t xml:space="preserve">geeignete technische und organisatorische Maßnahmen treffen müssen, um ein dem Risiko angemessenes Schutzniveau zu gewährleisten. Zugleich resultiert aus </w:t>
      </w:r>
      <w:r w:rsidR="00FD56B2" w:rsidRPr="00CA076C">
        <w:t>Art. </w:t>
      </w:r>
      <w:r w:rsidRPr="00CA076C">
        <w:t>5 DS-GVO eine Nachweispflicht. Damit lässt sich festhalten:</w:t>
      </w:r>
    </w:p>
    <w:p w14:paraId="14CCCDC8" w14:textId="77777777" w:rsidR="000777AD" w:rsidRPr="00CA076C" w:rsidRDefault="000777AD" w:rsidP="000777AD">
      <w:pPr>
        <w:pStyle w:val="Listenabsatz"/>
        <w:numPr>
          <w:ilvl w:val="0"/>
          <w:numId w:val="2"/>
        </w:numPr>
      </w:pPr>
      <w:r w:rsidRPr="00CA076C">
        <w:t xml:space="preserve">Der Schutz der Daten ist nicht absolut. Es muss aus datenschutzrechtlichen Gründen nicht zwingend das höchstmögliche Schutzniveau </w:t>
      </w:r>
      <w:r w:rsidR="003838B6" w:rsidRPr="00CA076C">
        <w:t>umgesetzt werden, sondern ein unter Berücksichtigung der oben genannten Punkte angemessenes Niveau.</w:t>
      </w:r>
    </w:p>
    <w:p w14:paraId="0FFF3086" w14:textId="77777777" w:rsidR="003838B6" w:rsidRPr="00CA076C" w:rsidRDefault="003838B6" w:rsidP="000777AD">
      <w:pPr>
        <w:pStyle w:val="Listenabsatz"/>
        <w:numPr>
          <w:ilvl w:val="0"/>
          <w:numId w:val="2"/>
        </w:numPr>
      </w:pPr>
      <w:r w:rsidRPr="00CA076C">
        <w:t>Es existiert bzgl. der Angemessenheit eine Nachweispflicht.</w:t>
      </w:r>
    </w:p>
    <w:p w14:paraId="4BF5475E" w14:textId="77777777" w:rsidR="00017132" w:rsidRPr="00CA076C" w:rsidRDefault="00017132" w:rsidP="00017132">
      <w:pPr>
        <w:spacing w:after="0"/>
      </w:pPr>
      <w:r w:rsidRPr="00CA076C">
        <w:t xml:space="preserve">Dabei adressiert </w:t>
      </w:r>
      <w:r w:rsidR="00FD56B2" w:rsidRPr="00CA076C">
        <w:t>Art. </w:t>
      </w:r>
      <w:r w:rsidRPr="00CA076C">
        <w:t>32 DS-GVO unterschiedliche Schutzziele:</w:t>
      </w:r>
    </w:p>
    <w:p w14:paraId="1BBFADF4" w14:textId="77777777" w:rsidR="00017132" w:rsidRPr="00CA076C" w:rsidRDefault="00141D6D" w:rsidP="00017132">
      <w:pPr>
        <w:pStyle w:val="Listenabsatz"/>
        <w:numPr>
          <w:ilvl w:val="0"/>
          <w:numId w:val="16"/>
        </w:numPr>
      </w:pPr>
      <w:r w:rsidRPr="00CA076C">
        <w:t>An erster Stelle steht die Forderung ein angemessenes Schutzniveau hinsichtlich des Risikos für die Rechte und Freiheiten natürlicher Personen zu gewährleisten.</w:t>
      </w:r>
    </w:p>
    <w:p w14:paraId="23812416" w14:textId="77777777" w:rsidR="00B378C9" w:rsidRPr="00CA076C" w:rsidRDefault="00B378C9" w:rsidP="00017132">
      <w:pPr>
        <w:pStyle w:val="Listenabsatz"/>
        <w:numPr>
          <w:ilvl w:val="0"/>
          <w:numId w:val="16"/>
        </w:numPr>
      </w:pPr>
      <w:r w:rsidRPr="00CA076C">
        <w:t xml:space="preserve">Hieraus abgeleitet resultiert die Forderung, dass </w:t>
      </w:r>
    </w:p>
    <w:p w14:paraId="2C522D8B" w14:textId="77777777" w:rsidR="00B378C9" w:rsidRPr="00CA076C" w:rsidRDefault="00017132" w:rsidP="00B378C9">
      <w:pPr>
        <w:pStyle w:val="Listenabsatz"/>
        <w:numPr>
          <w:ilvl w:val="1"/>
          <w:numId w:val="16"/>
        </w:numPr>
      </w:pPr>
      <w:r w:rsidRPr="00CA076C">
        <w:t>Vertraulichkeit,</w:t>
      </w:r>
    </w:p>
    <w:p w14:paraId="67AA0742" w14:textId="77777777" w:rsidR="00B378C9" w:rsidRPr="00CA076C" w:rsidRDefault="00017132" w:rsidP="00B378C9">
      <w:pPr>
        <w:pStyle w:val="Listenabsatz"/>
        <w:numPr>
          <w:ilvl w:val="1"/>
          <w:numId w:val="16"/>
        </w:numPr>
      </w:pPr>
      <w:r w:rsidRPr="00CA076C">
        <w:t>Integrität,</w:t>
      </w:r>
    </w:p>
    <w:p w14:paraId="00E5600C" w14:textId="77777777" w:rsidR="00B378C9" w:rsidRPr="00CA076C" w:rsidRDefault="00017132" w:rsidP="00B378C9">
      <w:pPr>
        <w:pStyle w:val="Listenabsatz"/>
        <w:numPr>
          <w:ilvl w:val="1"/>
          <w:numId w:val="16"/>
        </w:numPr>
      </w:pPr>
      <w:r w:rsidRPr="00CA076C">
        <w:t>Verfügbark</w:t>
      </w:r>
      <w:r w:rsidR="00B378C9" w:rsidRPr="00CA076C">
        <w:t>eit und</w:t>
      </w:r>
    </w:p>
    <w:p w14:paraId="7AA26381" w14:textId="77777777" w:rsidR="00017132" w:rsidRPr="00CA076C" w:rsidRDefault="00017132" w:rsidP="00B378C9">
      <w:pPr>
        <w:pStyle w:val="Listenabsatz"/>
        <w:numPr>
          <w:ilvl w:val="1"/>
          <w:numId w:val="16"/>
        </w:numPr>
      </w:pPr>
      <w:r w:rsidRPr="00CA076C">
        <w:t>Belastbarkeit</w:t>
      </w:r>
    </w:p>
    <w:p w14:paraId="42D04014" w14:textId="77777777" w:rsidR="00B378C9" w:rsidRPr="00CA076C" w:rsidRDefault="00B378C9" w:rsidP="00B378C9">
      <w:pPr>
        <w:pStyle w:val="Listenabsatz"/>
      </w:pPr>
      <w:r w:rsidRPr="00CA076C">
        <w:t xml:space="preserve">für Systeme und Dienste im Zusammenhang mit der Verarbeitung der personenbezogenen Daten </w:t>
      </w:r>
      <w:r w:rsidRPr="00CA076C">
        <w:rPr>
          <w:u w:val="single"/>
        </w:rPr>
        <w:t>auf Dauer</w:t>
      </w:r>
      <w:r w:rsidRPr="00CA076C">
        <w:t xml:space="preserve"> sicherzustellen ist. D. h. es muss nicht von Anfang an alles perfekt sein, insbesondere ist aus Fehlern zu lernen und die Verarbeitung immer sicherer im Sinne der Verordnung zu gestalten.</w:t>
      </w:r>
    </w:p>
    <w:p w14:paraId="4A371A27" w14:textId="77777777" w:rsidR="00B378C9" w:rsidRPr="00CA076C" w:rsidRDefault="00141D6D" w:rsidP="00B378C9">
      <w:pPr>
        <w:pStyle w:val="Listenabsatz"/>
        <w:numPr>
          <w:ilvl w:val="0"/>
          <w:numId w:val="16"/>
        </w:numPr>
      </w:pPr>
      <w:r w:rsidRPr="00CA076C">
        <w:t>Die Verfügbarkeit der personenbezogenen Daten muss nach einem physischen oder technischen Zwischenfall „rasch“ wiederherstellbar sein, desgleichen der Zugang zu den Daten.</w:t>
      </w:r>
    </w:p>
    <w:p w14:paraId="3EF330AC" w14:textId="51C2F044" w:rsidR="008640CD" w:rsidRPr="00CA076C" w:rsidRDefault="008640CD" w:rsidP="00017132">
      <w:r w:rsidRPr="00CA076C">
        <w:t>Gemäß ErwGr. 83 ist der Zweck dieser Sicherheitsmaßnahmen die Gewährleistung der Sicherheit. Aber auch die Vorbeugung gegen eine die Vorgaben der DS-GVO</w:t>
      </w:r>
      <w:r w:rsidR="00FD56B2" w:rsidRPr="00CA076C">
        <w:t xml:space="preserve"> </w:t>
      </w:r>
      <w:r w:rsidRPr="00CA076C">
        <w:t>verstoßende Verarbeitung.</w:t>
      </w:r>
    </w:p>
    <w:p w14:paraId="129EFC8C" w14:textId="77777777" w:rsidR="008640CD" w:rsidRPr="00CA076C" w:rsidRDefault="008640CD" w:rsidP="00017132">
      <w:r w:rsidRPr="00CA076C">
        <w:t xml:space="preserve">Während </w:t>
      </w:r>
      <w:r w:rsidR="00B378C9" w:rsidRPr="00CA076C">
        <w:t>die „klassische“ IT-Sicherheit die Sicherheit des Unternehmens gewährleistet</w:t>
      </w:r>
      <w:r w:rsidRPr="00CA076C">
        <w:t xml:space="preserve">, verlangt </w:t>
      </w:r>
      <w:r w:rsidR="00FD56B2" w:rsidRPr="00CA076C">
        <w:t>Art. </w:t>
      </w:r>
      <w:r w:rsidR="00B378C9" w:rsidRPr="00CA076C">
        <w:t>32 DS-GVO eine Betrachtung der Risiken für die betroffenen Persone</w:t>
      </w:r>
      <w:r w:rsidRPr="00CA076C">
        <w:t>n. D. </w:t>
      </w:r>
      <w:r w:rsidR="00141D6D" w:rsidRPr="00CA076C">
        <w:t>h</w:t>
      </w:r>
      <w:r w:rsidRPr="00CA076C">
        <w:t>. die DS-GVO adressiert die Risiken der betroffenen Personen</w:t>
      </w:r>
      <w:r w:rsidR="00B378C9" w:rsidRPr="00CA076C">
        <w:t xml:space="preserve">, nicht die Risiken des Unternehmens. </w:t>
      </w:r>
      <w:r w:rsidR="00141D6D" w:rsidRPr="00CA076C">
        <w:t xml:space="preserve">Die Risiken können sich natürlich überscheiden, Risiken für die betroffenen Personen können zugleich auch Risiken des Unternehmens darstellen. </w:t>
      </w:r>
      <w:r w:rsidR="00B378C9" w:rsidRPr="00CA076C">
        <w:t xml:space="preserve">Aber grundsätzlich sind auch Risiken zu betrachten, die der Verarbeiter darstellt wie </w:t>
      </w:r>
      <w:r w:rsidR="00552F0C" w:rsidRPr="00CA076C">
        <w:t>z. B.</w:t>
      </w:r>
      <w:r w:rsidR="00B378C9" w:rsidRPr="00CA076C">
        <w:t xml:space="preserve"> Weiterverkauf personenbezogener Daten an interessierte Parteien, </w:t>
      </w:r>
      <w:r w:rsidR="00B378C9" w:rsidRPr="00CA076C">
        <w:lastRenderedPageBreak/>
        <w:t>was selbstverständlich</w:t>
      </w:r>
      <w:r w:rsidR="0056012D" w:rsidRPr="00CA076C">
        <w:t xml:space="preserve"> auch in anonymisierter oder </w:t>
      </w:r>
      <w:r w:rsidRPr="00CA076C">
        <w:t>pseudonymisierter</w:t>
      </w:r>
      <w:r w:rsidR="0056012D" w:rsidRPr="00CA076C">
        <w:t xml:space="preserve"> Form ein Re-Identifikationsrisiko für die betroffenen Personen beinhaltet und damit verbunden ein Missbrauchspotential bzgl. der Verarbeitung der personenbezogenen Daten darstellt.</w:t>
      </w:r>
    </w:p>
    <w:p w14:paraId="784B33F7" w14:textId="77777777" w:rsidR="007628C9" w:rsidRPr="00CA076C" w:rsidRDefault="007628C9" w:rsidP="0091362F">
      <w:pPr>
        <w:pStyle w:val="berschrift1"/>
      </w:pPr>
      <w:bookmarkStart w:id="73" w:name="_Toc503456485"/>
      <w:r w:rsidRPr="00CA076C">
        <w:t>Anforderungen der Norm</w:t>
      </w:r>
      <w:bookmarkEnd w:id="73"/>
    </w:p>
    <w:p w14:paraId="781571E7" w14:textId="77777777" w:rsidR="00C55D2B" w:rsidRPr="00CA076C" w:rsidRDefault="00C55D2B" w:rsidP="00C55D2B">
      <w:pPr>
        <w:pStyle w:val="berschrift2"/>
      </w:pPr>
      <w:bookmarkStart w:id="74" w:name="_Toc503456486"/>
      <w:r w:rsidRPr="00CA076C">
        <w:t>Grundlegende Anforderungen</w:t>
      </w:r>
      <w:bookmarkEnd w:id="74"/>
    </w:p>
    <w:p w14:paraId="69BFAFC3" w14:textId="77777777" w:rsidR="007628C9" w:rsidRPr="00CA076C" w:rsidRDefault="007628C9" w:rsidP="007628C9">
      <w:r w:rsidRPr="00CA076C">
        <w:t xml:space="preserve">Art. 32 DS-GVO richtet sich sowohl an den Verantwortlichen als auch an Auftragsverarbeiter und beinhaltet die Pflicht, durch geeignete technische und organisatorische Maßnahmen ein angemessenes </w:t>
      </w:r>
      <w:r w:rsidR="00C55D2B" w:rsidRPr="00CA076C">
        <w:t>Schutz</w:t>
      </w:r>
      <w:r w:rsidRPr="00CA076C">
        <w:t>niveau bzgl. der Verarbeitung zu gewährleisten</w:t>
      </w:r>
      <w:r w:rsidR="00C55D2B" w:rsidRPr="00CA076C">
        <w:t>. Dabei werden von Art. 32 Abs. 1 lit. a-d DS-GVO Maßnahmen benannt, die eingeschlossen werden müssen.</w:t>
      </w:r>
    </w:p>
    <w:p w14:paraId="79C6CDFD" w14:textId="77777777" w:rsidR="00C55D2B" w:rsidRPr="00CA076C" w:rsidRDefault="00141D6D" w:rsidP="007628C9">
      <w:r w:rsidRPr="00CA076C">
        <w:t>Im Folgenden wird einerseits dargelegt, was unter einem „angemessenen Schutzniveau“ zu verstehen ist, anderseits werden die von der Schutznorm dargestellten Maßnahmen besprochen.</w:t>
      </w:r>
    </w:p>
    <w:p w14:paraId="5AD9504E" w14:textId="77777777" w:rsidR="00C55D2B" w:rsidRPr="00CA076C" w:rsidRDefault="00C55D2B" w:rsidP="00C55D2B">
      <w:pPr>
        <w:pStyle w:val="berschrift2"/>
      </w:pPr>
      <w:bookmarkStart w:id="75" w:name="_Toc503456487"/>
      <w:r w:rsidRPr="00CA076C">
        <w:t>Nachweis der Normkonformität</w:t>
      </w:r>
      <w:bookmarkEnd w:id="75"/>
    </w:p>
    <w:p w14:paraId="5DEAA1AB" w14:textId="77777777" w:rsidR="00C55D2B" w:rsidRPr="00CA076C" w:rsidRDefault="00C55D2B" w:rsidP="00C55D2B">
      <w:pPr>
        <w:pStyle w:val="berschrift3"/>
      </w:pPr>
      <w:bookmarkStart w:id="76" w:name="_Toc503456488"/>
      <w:r w:rsidRPr="00CA076C">
        <w:t>Verpflichtung zum Nachweis</w:t>
      </w:r>
      <w:bookmarkEnd w:id="76"/>
    </w:p>
    <w:p w14:paraId="0D48F517" w14:textId="77777777" w:rsidR="00C55D2B" w:rsidRPr="00CA076C" w:rsidRDefault="00141D6D" w:rsidP="00C55D2B">
      <w:r w:rsidRPr="00CA076C">
        <w:t xml:space="preserve">Entsprechend Art. DS-GVO besteht natürlich eine allgemeine Nachweisverpflichtung bzgl. der Einhaltung der Vorgaben des Verantwortlichen. </w:t>
      </w:r>
      <w:r w:rsidR="00C55D2B" w:rsidRPr="00CA076C">
        <w:t>Aber Art. 32 Abs. 3 DS-GVO verlangt selbst auch den Nachweis bzgl. der Einhaltung bzw. der Erfüllung seiner Vorgaben, und dies gilt sowohl für den Verantwortlichen wie auch – sofern vorhanden – für Auftragsverarbeiter</w:t>
      </w:r>
      <w:r w:rsidR="00C55D2B" w:rsidRPr="00CA076C">
        <w:rPr>
          <w:rStyle w:val="Funotenzeichen"/>
        </w:rPr>
        <w:footnoteReference w:id="1"/>
      </w:r>
      <w:r w:rsidR="00C55D2B" w:rsidRPr="00CA076C">
        <w:t>.</w:t>
      </w:r>
    </w:p>
    <w:p w14:paraId="42EF3046" w14:textId="77777777" w:rsidR="00C55D2B" w:rsidRPr="00CA076C" w:rsidRDefault="00C55D2B" w:rsidP="00C55D2B">
      <w:pPr>
        <w:pStyle w:val="berschrift3"/>
      </w:pPr>
      <w:bookmarkStart w:id="77" w:name="_Toc503456489"/>
      <w:r w:rsidRPr="00CA076C">
        <w:t>Verhaltensregeln und Zertifizierung</w:t>
      </w:r>
      <w:bookmarkEnd w:id="77"/>
    </w:p>
    <w:p w14:paraId="6D1BBAC1" w14:textId="3E88373F" w:rsidR="00C55D2B" w:rsidRPr="00CA076C" w:rsidRDefault="00C55D2B" w:rsidP="00C55D2B">
      <w:pPr>
        <w:jc w:val="left"/>
      </w:pPr>
      <w:r w:rsidRPr="00CA076C">
        <w:t>Gemäß Art. 32 Abs. 3 DS-GVO können genehmigte Verhaltensregeln nach Art. 40 DS-GV</w:t>
      </w:r>
      <w:r w:rsidR="00BA7C09" w:rsidRPr="001A4101">
        <w:t>O</w:t>
      </w:r>
      <w:r w:rsidRPr="00CA076C">
        <w:t xml:space="preserve"> oder ein genehmigtes Zertifizierungsverfahren entsprechend Art. 42 DS-GVO als Faktoren herangezogen werden, um einen Nachweis bzgl. der Erfüllung der Anforderungen von Art. 32 Abs. 1 und 2 DS-GVO zu erbringen.</w:t>
      </w:r>
    </w:p>
    <w:p w14:paraId="5BD86956" w14:textId="77777777" w:rsidR="00C55D2B" w:rsidRPr="00CA076C" w:rsidRDefault="00C55D2B" w:rsidP="00C55D2B">
      <w:pPr>
        <w:jc w:val="left"/>
      </w:pPr>
      <w:r w:rsidRPr="00CA076C">
        <w:t>Die Aussage „kann als Faktor herangezogen werden“ ist dabei nicht derart zu verstehen, dass den Aufsichtsbehörden hiermit ein Ermessen bzgl. der Berücksichtigung der Selbstregulierungsinstrumente eingeräumt wird</w:t>
      </w:r>
      <w:bookmarkStart w:id="78" w:name="_Ref494092565"/>
      <w:r w:rsidRPr="00CA076C">
        <w:rPr>
          <w:rStyle w:val="Funotenzeichen"/>
        </w:rPr>
        <w:footnoteReference w:id="2"/>
      </w:r>
      <w:bookmarkEnd w:id="78"/>
      <w:r w:rsidRPr="00CA076C">
        <w:t>. Vielmehr bezieht sich das „kann“ auf die Auswahlmöglichkeit des Verantwortlichen bzw. Auftragsverarbeiters: Verhaltensregeln bzw. Zertifizierung können genutzt werden, müssen aber nicht. Werden die Selbstregulierungsinstrumente genutzt, so sind sie als Nachweis bzgl. der Erfüllung der Anforderung entsprechend zu würdigen</w:t>
      </w:r>
      <w:r w:rsidRPr="00CA076C">
        <w:rPr>
          <w:vertAlign w:val="superscript"/>
        </w:rPr>
        <w:fldChar w:fldCharType="begin"/>
      </w:r>
      <w:r w:rsidRPr="00CA076C">
        <w:rPr>
          <w:vertAlign w:val="superscript"/>
        </w:rPr>
        <w:instrText xml:space="preserve"> NOTEREF _Ref494092565 \h  \* MERGEFORMAT </w:instrText>
      </w:r>
      <w:r w:rsidRPr="00CA076C">
        <w:rPr>
          <w:vertAlign w:val="superscript"/>
        </w:rPr>
      </w:r>
      <w:r w:rsidRPr="00CA076C">
        <w:rPr>
          <w:vertAlign w:val="superscript"/>
        </w:rPr>
        <w:fldChar w:fldCharType="separate"/>
      </w:r>
      <w:r w:rsidR="001D39C0" w:rsidRPr="00CA076C">
        <w:rPr>
          <w:vertAlign w:val="superscript"/>
        </w:rPr>
        <w:t>2</w:t>
      </w:r>
      <w:r w:rsidRPr="00CA076C">
        <w:rPr>
          <w:vertAlign w:val="superscript"/>
        </w:rPr>
        <w:fldChar w:fldCharType="end"/>
      </w:r>
      <w:r w:rsidRPr="00CA076C">
        <w:t>.</w:t>
      </w:r>
    </w:p>
    <w:p w14:paraId="184DDF63" w14:textId="77777777" w:rsidR="00C55D2B" w:rsidRPr="00CA076C" w:rsidRDefault="00C55D2B" w:rsidP="00C55D2B">
      <w:pPr>
        <w:jc w:val="left"/>
      </w:pPr>
      <w:r w:rsidRPr="00CA076C">
        <w:t>Auch bedeutet die Einhaltung von Verhaltensregeln oder Zertifizierungsmaßnahmen nicht zwangsläufig, dass damit sämtliche Pflichten des Art. 32 DS-GVO erfüllt werden müssen</w:t>
      </w:r>
      <w:r w:rsidRPr="00CA076C">
        <w:rPr>
          <w:rStyle w:val="Funotenzeichen"/>
        </w:rPr>
        <w:footnoteReference w:id="3"/>
      </w:r>
      <w:r w:rsidRPr="00CA076C">
        <w:t xml:space="preserve">. Entsprechend Art. 32 Abs. 4 sind diese Selbstregulierungsinstrumente als ein Faktor heranzuziehen, d. h. die Erfüllung kann auch durch den Einsatz weiterer Faktoren gewährleistet werden; wobei den </w:t>
      </w:r>
      <w:r w:rsidRPr="00CA076C">
        <w:lastRenderedPageBreak/>
        <w:t>Selbstregulierungsinstrumente bedingt durch ihre vorherige Prüfung seitens der Aufsichtsbehörde selbstverständlich eine entsprechende Gewichtung beigemessen werden muss.</w:t>
      </w:r>
    </w:p>
    <w:p w14:paraId="7E7F95F4" w14:textId="77777777" w:rsidR="00C55D2B" w:rsidRPr="00CA076C" w:rsidRDefault="00C55D2B" w:rsidP="00C55D2B">
      <w:pPr>
        <w:spacing w:after="0"/>
        <w:jc w:val="left"/>
      </w:pPr>
      <w:r w:rsidRPr="00CA076C">
        <w:t>Entsprechend § 38 BDSG</w:t>
      </w:r>
      <w:r w:rsidR="00141D6D" w:rsidRPr="00CA076C">
        <w:t xml:space="preserve"> n.F.</w:t>
      </w:r>
      <w:r w:rsidRPr="00CA076C">
        <w:t xml:space="preserve"> erfolgt die Erteilung der Befugnis, als Zertifizierungsstelle gemäß Art. 43 Abs. 1 S. 1 DS-GVO zu agieren, durch die für die Zertifizierungsstelle zuständige Aufsichtsbehörde des Bundes oder der Länder auf Grundlage einer Akkreditierung durch die Deutsche Akkreditierungsstelle. D. h. in Deutschland existiert ein zweistufiges Vorgehen:</w:t>
      </w:r>
    </w:p>
    <w:p w14:paraId="7FA8AC4B" w14:textId="77777777" w:rsidR="00C55D2B" w:rsidRPr="00CA076C" w:rsidRDefault="00C55D2B" w:rsidP="00C55D2B">
      <w:pPr>
        <w:pStyle w:val="Listenabsatz"/>
        <w:numPr>
          <w:ilvl w:val="0"/>
          <w:numId w:val="30"/>
        </w:numPr>
        <w:jc w:val="left"/>
      </w:pPr>
      <w:r w:rsidRPr="00CA076C">
        <w:t>Zunächst ist eine Akkreditierung durch die Deutsche Akkreditierungsstelle erforderlich,</w:t>
      </w:r>
    </w:p>
    <w:p w14:paraId="04E6C6CA" w14:textId="77777777" w:rsidR="00C55D2B" w:rsidRPr="00CA076C" w:rsidRDefault="00C55D2B" w:rsidP="00C55D2B">
      <w:pPr>
        <w:pStyle w:val="Listenabsatz"/>
        <w:numPr>
          <w:ilvl w:val="0"/>
          <w:numId w:val="30"/>
        </w:numPr>
        <w:jc w:val="left"/>
      </w:pPr>
      <w:r w:rsidRPr="00CA076C">
        <w:t>dann erteilt die zuständige Datenschutz-Aufsichtsbehörde auf dieser Grundlage die Befugnis.</w:t>
      </w:r>
    </w:p>
    <w:p w14:paraId="2464EB82" w14:textId="77777777" w:rsidR="0091362F" w:rsidRPr="00CA076C" w:rsidRDefault="0091362F" w:rsidP="0091362F">
      <w:pPr>
        <w:pStyle w:val="berschrift1"/>
      </w:pPr>
      <w:bookmarkStart w:id="79" w:name="_Toc503456490"/>
      <w:r w:rsidRPr="00CA076C">
        <w:t>Angemessenes Schutzniveau</w:t>
      </w:r>
      <w:bookmarkEnd w:id="79"/>
    </w:p>
    <w:p w14:paraId="4EAB8F93" w14:textId="77777777" w:rsidR="0091362F" w:rsidRPr="00CA076C" w:rsidRDefault="0091362F" w:rsidP="0091362F">
      <w:pPr>
        <w:spacing w:after="0"/>
      </w:pPr>
      <w:r w:rsidRPr="00CA076C">
        <w:t>Bei der Auswahl der Maßnahmen sind</w:t>
      </w:r>
    </w:p>
    <w:p w14:paraId="26AFE0D5" w14:textId="77777777" w:rsidR="0091362F" w:rsidRPr="00CA076C" w:rsidRDefault="0091362F" w:rsidP="0091362F">
      <w:pPr>
        <w:pStyle w:val="Listenabsatz"/>
        <w:numPr>
          <w:ilvl w:val="0"/>
          <w:numId w:val="1"/>
        </w:numPr>
      </w:pPr>
      <w:r w:rsidRPr="00CA076C">
        <w:t>der Stands der Technik,</w:t>
      </w:r>
    </w:p>
    <w:p w14:paraId="44510A78" w14:textId="77777777" w:rsidR="0091362F" w:rsidRPr="00CA076C" w:rsidRDefault="0091362F" w:rsidP="0091362F">
      <w:pPr>
        <w:pStyle w:val="Listenabsatz"/>
        <w:numPr>
          <w:ilvl w:val="0"/>
          <w:numId w:val="1"/>
        </w:numPr>
      </w:pPr>
      <w:r w:rsidRPr="00CA076C">
        <w:t>die Implementierungskosten,</w:t>
      </w:r>
    </w:p>
    <w:p w14:paraId="740B752F" w14:textId="77777777" w:rsidR="0091362F" w:rsidRPr="00CA076C" w:rsidRDefault="0091362F" w:rsidP="0091362F">
      <w:pPr>
        <w:pStyle w:val="Listenabsatz"/>
        <w:numPr>
          <w:ilvl w:val="0"/>
          <w:numId w:val="1"/>
        </w:numPr>
      </w:pPr>
      <w:r w:rsidRPr="00CA076C">
        <w:t xml:space="preserve">Art, Umfangs, Umstände und Zwecke der Verarbeitung sowie </w:t>
      </w:r>
    </w:p>
    <w:p w14:paraId="769B72DF" w14:textId="77777777" w:rsidR="0091362F" w:rsidRPr="00CA076C" w:rsidRDefault="0091362F" w:rsidP="0091362F">
      <w:pPr>
        <w:pStyle w:val="Listenabsatz"/>
        <w:numPr>
          <w:ilvl w:val="0"/>
          <w:numId w:val="1"/>
        </w:numPr>
        <w:spacing w:after="0"/>
        <w:ind w:left="714" w:hanging="357"/>
      </w:pPr>
      <w:r w:rsidRPr="00CA076C">
        <w:t>die unterschiedlichen Eintrittswahrscheinlichkeit und Schwere des Risikos für die persönlichen Rechte und Freiheiten betroffener Personen</w:t>
      </w:r>
    </w:p>
    <w:p w14:paraId="4492DD4E" w14:textId="77777777" w:rsidR="0091362F" w:rsidRPr="00CA076C" w:rsidRDefault="0091362F" w:rsidP="0091362F">
      <w:r w:rsidRPr="00CA076C">
        <w:t>zu berücksichtigen. Daher müssen alle vier Sachverhalte dargest</w:t>
      </w:r>
      <w:r w:rsidR="00612F3C" w:rsidRPr="00CA076C">
        <w:t>ellt und betrachtet werden. Dabei ist eine Umsetzungspflicht abhängig von dem Ergebnis einer Verhältnismäßigkeitsprüfung</w:t>
      </w:r>
      <w:r w:rsidR="00612F3C" w:rsidRPr="00CA076C">
        <w:rPr>
          <w:rStyle w:val="Funotenzeichen"/>
        </w:rPr>
        <w:footnoteReference w:id="4"/>
      </w:r>
      <w:r w:rsidR="00572969" w:rsidRPr="00CA076C">
        <w:rPr>
          <w:vertAlign w:val="superscript"/>
        </w:rPr>
        <w:t xml:space="preserve">, </w:t>
      </w:r>
      <w:r w:rsidR="00572969" w:rsidRPr="00CA076C">
        <w:rPr>
          <w:rStyle w:val="Funotenzeichen"/>
        </w:rPr>
        <w:footnoteReference w:id="5"/>
      </w:r>
      <w:r w:rsidR="00612F3C" w:rsidRPr="00CA076C">
        <w:t>.</w:t>
      </w:r>
    </w:p>
    <w:p w14:paraId="5140E2C2" w14:textId="77777777" w:rsidR="0091362F" w:rsidRPr="00CA076C" w:rsidRDefault="0091362F" w:rsidP="0091362F">
      <w:r w:rsidRPr="00CA076C">
        <w:t>Zunächst ist zu klären, was unter dem „Stand der Technik“ zu verstehen ist. Dann sind die „Implementierungskosten“ zu berücksichtigen. Dies bedingt eine betriebswirtschaftliche Bewertung von Maßnahmen der Informationssicherheit. Hierzu ist einerseits die vollständige Erfassung und adäquate Quantifizierung der bestehenden Risiken erforderlich, andererseits müssen die Kosten und Wirksamkeit von Schutzmaßnahmen dargestellt werden.</w:t>
      </w:r>
      <w:r w:rsidR="00017132" w:rsidRPr="00CA076C">
        <w:t xml:space="preserve"> Da dies auch zur Darstellung der Eintrittswahrscheinlichkeit sowie der Schwere des Risikos benötigt wird, erfolgt dort die Betrachtung.</w:t>
      </w:r>
      <w:r w:rsidRPr="00CA076C">
        <w:t xml:space="preserve"> Schwierig </w:t>
      </w:r>
      <w:r w:rsidR="00017132" w:rsidRPr="00CA076C">
        <w:t>an dieser Betrachtung</w:t>
      </w:r>
      <w:r w:rsidRPr="00CA076C">
        <w:t xml:space="preserve"> ist, dass gerade im Bereich der IT-Sicherheit häufig eine hinreichend präzise Quantifizierung der Risiken nicht möglich; hier muss eine bestmögliche Näherung erzielt werden.</w:t>
      </w:r>
      <w:r w:rsidR="00017132" w:rsidRPr="00CA076C">
        <w:t xml:space="preserve"> Zur Darstellung der Risiken werden insbesondere auch eine klare Beschreibung der Art, des Umfangs, der Umstände und der Zwecke der Verarbeitung benötigt. Daher greifen die zu berücksichtigenden Tatbestände ineinander und ergänzen sich gegenseitig.</w:t>
      </w:r>
    </w:p>
    <w:p w14:paraId="41481C1F" w14:textId="77777777" w:rsidR="0091362F" w:rsidRPr="00CA076C" w:rsidRDefault="0091362F" w:rsidP="0091362F">
      <w:pPr>
        <w:pStyle w:val="berschrift2"/>
        <w:spacing w:before="200"/>
        <w:rPr>
          <w:b w:val="0"/>
          <w:bCs/>
          <w:color w:val="4F81BD" w:themeColor="accent1"/>
        </w:rPr>
      </w:pPr>
      <w:bookmarkStart w:id="80" w:name="_Toc503456491"/>
      <w:r w:rsidRPr="00CA076C">
        <w:rPr>
          <w:b w:val="0"/>
          <w:bCs/>
          <w:color w:val="4F81BD" w:themeColor="accent1"/>
        </w:rPr>
        <w:t>„Stand der Technik“</w:t>
      </w:r>
      <w:bookmarkEnd w:id="80"/>
    </w:p>
    <w:p w14:paraId="066B9D78" w14:textId="77777777" w:rsidR="0091362F" w:rsidRPr="00CA076C" w:rsidRDefault="0091362F" w:rsidP="0091362F">
      <w:pPr>
        <w:spacing w:after="0"/>
      </w:pPr>
      <w:r w:rsidRPr="00CA076C">
        <w:t>In der DS-GVO existiert keine Legaldefinition bzgl. „Stand der Technik“. in der Begründung zum IT-Sicherheitsgesetz</w:t>
      </w:r>
      <w:r w:rsidRPr="00CA076C">
        <w:rPr>
          <w:rStyle w:val="Funotenzeichen"/>
        </w:rPr>
        <w:footnoteReference w:id="6"/>
      </w:r>
      <w:r w:rsidRPr="00CA076C">
        <w:t xml:space="preserve"> heißt es:</w:t>
      </w:r>
    </w:p>
    <w:p w14:paraId="6984ADA7" w14:textId="77777777" w:rsidR="0091362F" w:rsidRPr="00CA076C" w:rsidRDefault="0091362F" w:rsidP="0091362F">
      <w:pPr>
        <w:pStyle w:val="Listenabsatz"/>
        <w:ind w:left="708"/>
      </w:pPr>
      <w:r w:rsidRPr="00CA076C">
        <w:t xml:space="preserve">„Stand der Technik in diesem Sinne ist der Entwicklungsstand fortschrittlicher Verfahren, Einrichtungen oder Betriebsweisen, der die praktische Eignung einer Maßnahme zum Schutz der Funktionsfähigkeit von informationstechnischen Systemen, Komponenten oder Prozessen gegen Beeinträchtigungen der Verfügbarkeit, Integrität, Authentizität und Vertraulichkeit gesichert erscheinen lässt. Bei der Bestimmung des Standes der Technik sind </w:t>
      </w:r>
      <w:r w:rsidRPr="00CA076C">
        <w:lastRenderedPageBreak/>
        <w:t>insbesondere einschlägige internationale, europäische und nationale Normen und Standards heranzuziehen, aber auch vergleichbare Verfahren, Einrichtungen und Betriebsweisen, die mit Erfolg in der Praxis erprobt wurden.“</w:t>
      </w:r>
    </w:p>
    <w:p w14:paraId="2206CE30" w14:textId="77777777" w:rsidR="0091362F" w:rsidRPr="00CA076C" w:rsidRDefault="0091362F" w:rsidP="0091362F">
      <w:pPr>
        <w:spacing w:after="0"/>
      </w:pPr>
      <w:r w:rsidRPr="00CA076C">
        <w:t xml:space="preserve">Aus europäischer Sicht bietet am ehesten der Terminus „beste verfügbare Technik“ entsprechend </w:t>
      </w:r>
      <w:r w:rsidR="00FD56B2" w:rsidRPr="00CA076C">
        <w:t>Art. </w:t>
      </w:r>
      <w:r w:rsidRPr="00CA076C">
        <w:t>3 Ziff. 10 Industrieemissions-Richtlinie</w:t>
      </w:r>
      <w:r w:rsidRPr="00CA076C">
        <w:rPr>
          <w:rStyle w:val="Funotenzeichen"/>
        </w:rPr>
        <w:footnoteReference w:id="7"/>
      </w:r>
      <w:r w:rsidRPr="00CA076C">
        <w:t xml:space="preserve"> eine Definition bzgl. „Stand der Technik“. Hier findet sich als Definition</w:t>
      </w:r>
    </w:p>
    <w:p w14:paraId="7A20DE34" w14:textId="77777777" w:rsidR="0091362F" w:rsidRPr="00CA076C" w:rsidRDefault="0091362F" w:rsidP="0091362F">
      <w:pPr>
        <w:pStyle w:val="Listenabsatz"/>
        <w:ind w:left="708"/>
      </w:pPr>
      <w:r w:rsidRPr="00CA076C">
        <w:t>„beste verfügbare Techniken“ den effizientesten und fortschrittlichsten Entwicklungsstand der Tätigkeiten und entsprechenden Betriebsmethoden, der bestimmte Techniken als praktisch geeignet erscheinen lässt, […] oder, wenn dies nicht möglich ist, zu vermindern:</w:t>
      </w:r>
    </w:p>
    <w:p w14:paraId="59F957C4" w14:textId="77777777" w:rsidR="0091362F" w:rsidRPr="00CA076C" w:rsidRDefault="0091362F" w:rsidP="0091362F">
      <w:pPr>
        <w:pStyle w:val="Listenabsatz"/>
        <w:numPr>
          <w:ilvl w:val="0"/>
          <w:numId w:val="4"/>
        </w:numPr>
      </w:pPr>
      <w:r w:rsidRPr="00CA076C">
        <w:t>„Techniken“: sowohl die angewandte Technologie als auch die Art und Weise, wie die Anlage geplant, gebaut, gewartet, betrieben und stillgelegt wird;</w:t>
      </w:r>
    </w:p>
    <w:p w14:paraId="4DA8E32D" w14:textId="77777777" w:rsidR="0091362F" w:rsidRPr="00CA076C" w:rsidRDefault="0091362F" w:rsidP="0091362F">
      <w:pPr>
        <w:pStyle w:val="Listenabsatz"/>
        <w:numPr>
          <w:ilvl w:val="0"/>
          <w:numId w:val="4"/>
        </w:numPr>
      </w:pPr>
      <w:r w:rsidRPr="00CA076C">
        <w:t>„verfügbare Techniken“: die Techniken, die in einem Maßstab entwickelt sind, der unter Berücksichtigung des Kosten/Nutzen-Verhältnisses die Anwendung unter in dem betreffenden industriellen Sektor wirtschaftlich und technisch vertretbaren Verhältnissen ermöglicht, gleich, ob diese Techniken innerhalb des betreffenden Mitgliedstaats verwendet oder hergestellt werden, sofern sie zu vertretbaren Bedingungen für den Betreiber zugänglich sind;</w:t>
      </w:r>
    </w:p>
    <w:p w14:paraId="6320218B" w14:textId="77777777" w:rsidR="0091362F" w:rsidRPr="00CA076C" w:rsidRDefault="0091362F" w:rsidP="0091362F">
      <w:pPr>
        <w:pStyle w:val="Listenabsatz"/>
        <w:numPr>
          <w:ilvl w:val="0"/>
          <w:numId w:val="4"/>
        </w:numPr>
      </w:pPr>
      <w:r w:rsidRPr="00CA076C">
        <w:t>„beste“: die Techniken, die am wirksamsten zur Erreichung eines allgemein hohen Schutzniveaus […] sind“.</w:t>
      </w:r>
    </w:p>
    <w:p w14:paraId="62B3B66C" w14:textId="77777777" w:rsidR="0091362F" w:rsidRPr="00CA076C" w:rsidRDefault="0091362F" w:rsidP="0091362F">
      <w:r w:rsidRPr="00CA076C">
        <w:t xml:space="preserve">Übertragen auf die IT-Sicherheit folgt daraus: </w:t>
      </w:r>
      <w:r w:rsidR="00141D6D" w:rsidRPr="00CA076C">
        <w:t>Unter</w:t>
      </w:r>
      <w:r w:rsidRPr="00CA076C">
        <w:t xml:space="preserve"> Berücksichtigung des Kosten/Nutzen-Verhältnisses muss die Technik eingesetzt werden, welche für den jeweiligen Bereich als Standard angesehen wird und dabei das höchstmögliche Schutzniveau gewährt. Wikipedia beschreibt den Begriff „Standard“ wie folgt: „Ein Standard ist eine vergleichsweise einheitliche oder vereinheitlichte, weithin anerkannte und meist angewandte (oder zumindest angestrebte) Art und Weise, etwas herzustellen oder durchzuführen, die sich gegenüber anderen Arten und Weisen durchgesetzt hat.“</w:t>
      </w:r>
      <w:r w:rsidRPr="00CA076C">
        <w:rPr>
          <w:rStyle w:val="Funotenzeichen"/>
        </w:rPr>
        <w:footnoteReference w:id="8"/>
      </w:r>
    </w:p>
    <w:p w14:paraId="236A40C7" w14:textId="77777777" w:rsidR="0091362F" w:rsidRPr="00CA076C" w:rsidRDefault="0091362F" w:rsidP="0091362F">
      <w:pPr>
        <w:pStyle w:val="berschrift3"/>
        <w:spacing w:before="200"/>
        <w:rPr>
          <w:b w:val="0"/>
          <w:bCs/>
          <w:color w:val="4F81BD" w:themeColor="accent1"/>
          <w:sz w:val="22"/>
          <w:szCs w:val="22"/>
        </w:rPr>
      </w:pPr>
      <w:bookmarkStart w:id="81" w:name="_Toc503456492"/>
      <w:r w:rsidRPr="00CA076C">
        <w:rPr>
          <w:bCs/>
          <w:color w:val="4F81BD" w:themeColor="accent1"/>
          <w:sz w:val="22"/>
          <w:szCs w:val="22"/>
        </w:rPr>
        <w:t>Stand der Technik und Normen</w:t>
      </w:r>
      <w:bookmarkEnd w:id="81"/>
    </w:p>
    <w:p w14:paraId="3E43C937" w14:textId="77777777" w:rsidR="0091362F" w:rsidRPr="00CA076C" w:rsidRDefault="0091362F" w:rsidP="0091362F">
      <w:r w:rsidRPr="00CA076C">
        <w:t xml:space="preserve">Normen und Richtlinien sind in erster Linie Empfehlungen privater Vereine, </w:t>
      </w:r>
      <w:r w:rsidR="00552F0C" w:rsidRPr="00CA076C">
        <w:t>z. B.</w:t>
      </w:r>
      <w:r w:rsidRPr="00CA076C">
        <w:t xml:space="preserve"> die vom Deutschen Instituts für Normung (DIN) herausgegebenen Normen. Die Verbindlichkeit einer Norm regelt sich durch die Vereinbarung der beteiligten Parteien, für welche die Norm(en) Leistungsgrundlage sein soll. </w:t>
      </w:r>
      <w:r w:rsidR="00141D6D" w:rsidRPr="00CA076C">
        <w:t xml:space="preserve">Somit stellen Normen nicht zwangsläufig eine Regel oder Stand der Technik dar. </w:t>
      </w:r>
      <w:r w:rsidRPr="00CA076C">
        <w:t xml:space="preserve">Vielmehr ist eine Norm dann anerkannt, wenn Fachleute diese anwenden und sich dabei sicher sind, dass sie dem Stand der Technik entspricht. </w:t>
      </w:r>
      <w:r w:rsidR="00141D6D" w:rsidRPr="00CA076C">
        <w:t>Dies beinhaltet, dass die Norm „gepflegt“ wird, d. h. regelmäßig aktuell gehalten wird.</w:t>
      </w:r>
    </w:p>
    <w:p w14:paraId="498B224A" w14:textId="77777777" w:rsidR="0091362F" w:rsidRPr="00CA076C" w:rsidRDefault="0091362F" w:rsidP="0091362F">
      <w:r w:rsidRPr="00CA076C">
        <w:t>Ist die Anwendung von bestimmten Normen in einer Rechtsvorschrift vorgeschrieben, so ist deren Einhaltung selbstverständlich auch verpflichtend, auch wenn diese ggf. nicht mehr dem Stand der Technik entsprechen.</w:t>
      </w:r>
    </w:p>
    <w:p w14:paraId="79AF4C84" w14:textId="77777777" w:rsidR="0091362F" w:rsidRPr="00CA076C" w:rsidRDefault="0091362F" w:rsidP="0091362F">
      <w:pPr>
        <w:pStyle w:val="berschrift2"/>
      </w:pPr>
      <w:bookmarkStart w:id="82" w:name="_Toc503456493"/>
      <w:r w:rsidRPr="00CA076C">
        <w:lastRenderedPageBreak/>
        <w:t>Implementierungskosten: Betriebswirtschaftliche Betrachtung</w:t>
      </w:r>
      <w:bookmarkEnd w:id="82"/>
    </w:p>
    <w:p w14:paraId="551769C6" w14:textId="77777777" w:rsidR="00DA2B23" w:rsidRPr="00CA076C" w:rsidRDefault="00DA2B23" w:rsidP="00DA2B23">
      <w:pPr>
        <w:pStyle w:val="berschrift3"/>
      </w:pPr>
      <w:bookmarkStart w:id="83" w:name="_Toc503456494"/>
      <w:r w:rsidRPr="00CA076C">
        <w:t>Return on Security Investment</w:t>
      </w:r>
      <w:bookmarkEnd w:id="83"/>
    </w:p>
    <w:p w14:paraId="7E41BAA6" w14:textId="77777777" w:rsidR="0091362F" w:rsidRPr="00CA076C" w:rsidRDefault="0091362F" w:rsidP="0091362F">
      <w:r w:rsidRPr="00CA076C">
        <w:t>Für diese betriebswirtschaftliche Abwägung und Maßnahmenbewertung wird in der Praxis häufig der Return on Security Investment (</w:t>
      </w:r>
      <w:proofErr w:type="spellStart"/>
      <w:r w:rsidRPr="00CA076C">
        <w:t>RoSI</w:t>
      </w:r>
      <w:proofErr w:type="spellEnd"/>
      <w:r w:rsidRPr="00CA076C">
        <w:t>) als Kennzahl eingesetzt. Die Rentabilität einer IT-Sicherheitsmaßnahme wird anhand eines Vergleichs des gesenkten IT-Sicherheitsrisikos durch die Implementierung einer IT-Sicherheitsmaßnahme mit den Kosten für die Maßnahme ermittelt.</w:t>
      </w:r>
    </w:p>
    <w:p w14:paraId="3AA27DD2" w14:textId="77777777" w:rsidR="0091362F" w:rsidRPr="00CA076C" w:rsidRDefault="0091362F" w:rsidP="00597483">
      <w:pPr>
        <w:spacing w:after="0"/>
        <w:rPr>
          <w:rFonts w:eastAsiaTheme="minorEastAsia"/>
        </w:rPr>
      </w:pPr>
      <w:r w:rsidRPr="00CA076C">
        <w:t xml:space="preserve">Hierzu ist es zunächst erforderlich den der zu erwartenden jährlichen Verlust (Annual Loss </w:t>
      </w:r>
      <w:proofErr w:type="spellStart"/>
      <w:r w:rsidRPr="00CA076C">
        <w:t>Expectancy</w:t>
      </w:r>
      <w:proofErr w:type="spellEnd"/>
      <w:r w:rsidRPr="00CA076C">
        <w:t>, ALE) zu bestimmen. Der ALE errechnet sich aus der finanziellen Höhe (Loss, L) und der Eintrittswahrscheinlichkeit (</w:t>
      </w:r>
      <w:proofErr w:type="spellStart"/>
      <w:r w:rsidRPr="00CA076C">
        <w:t>Probability</w:t>
      </w:r>
      <w:proofErr w:type="spellEnd"/>
      <w:r w:rsidRPr="00CA076C">
        <w:t xml:space="preserve">, P) eines potentiellen Schadens: </w:t>
      </w:r>
      <m:oMath>
        <m:r>
          <w:rPr>
            <w:rFonts w:ascii="Cambria Math" w:hAnsi="Cambria Math"/>
          </w:rPr>
          <m:t>ALE=L∙P</m:t>
        </m:r>
      </m:oMath>
      <w:r w:rsidRPr="00CA076C">
        <w:rPr>
          <w:rFonts w:eastAsiaTheme="minorEastAsia"/>
        </w:rPr>
        <w:t>.</w:t>
      </w:r>
    </w:p>
    <w:p w14:paraId="06C1C386" w14:textId="77777777" w:rsidR="0091362F" w:rsidRPr="00CA076C" w:rsidRDefault="0091362F" w:rsidP="0091362F">
      <w:pPr>
        <w:rPr>
          <w:rFonts w:eastAsiaTheme="minorEastAsia"/>
        </w:rPr>
      </w:pPr>
      <w:r w:rsidRPr="00CA076C">
        <w:rPr>
          <w:rFonts w:eastAsiaTheme="minorEastAsia"/>
        </w:rPr>
        <w:t xml:space="preserve">Der zu </w:t>
      </w:r>
      <w:r w:rsidRPr="00CA076C">
        <w:t>erwartende</w:t>
      </w:r>
      <w:r w:rsidRPr="00CA076C">
        <w:rPr>
          <w:rFonts w:eastAsiaTheme="minorEastAsia"/>
        </w:rPr>
        <w:t xml:space="preserve"> Gesamtverlust ist dann die Summe der Erwartungswerte aller betrachteten Einzelrisiken: </w:t>
      </w:r>
      <m:oMath>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ALE</m:t>
                </m:r>
              </m:e>
              <m:sub>
                <m:r>
                  <w:rPr>
                    <w:rFonts w:ascii="Cambria Math" w:eastAsiaTheme="minorEastAsia" w:hAnsi="Cambria Math"/>
                  </w:rPr>
                  <m:t>tot</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r>
                  <w:rPr>
                    <w:rFonts w:ascii="Cambria Math" w:eastAsiaTheme="minorEastAsia" w:hAnsi="Cambria Math"/>
                  </w:rPr>
                  <m:t>L</m:t>
                </m:r>
              </m:e>
            </m:nary>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oMath>
      <w:r w:rsidRPr="00CA076C">
        <w:rPr>
          <w:rFonts w:eastAsiaTheme="minorEastAsia"/>
        </w:rPr>
        <w:t>.</w:t>
      </w:r>
    </w:p>
    <w:p w14:paraId="5276A42D" w14:textId="77777777" w:rsidR="0091362F" w:rsidRPr="00CA076C" w:rsidRDefault="0091362F" w:rsidP="0091362F">
      <w:pPr>
        <w:rPr>
          <w:rFonts w:eastAsiaTheme="minorEastAsia"/>
        </w:rPr>
      </w:pPr>
      <w:r w:rsidRPr="00CA076C">
        <w:rPr>
          <w:rFonts w:eastAsiaTheme="minorEastAsia"/>
        </w:rPr>
        <w:t xml:space="preserve">Die Reduktion eines </w:t>
      </w:r>
      <w:r w:rsidRPr="00CA076C">
        <w:t>betriebswirtschaftlichen</w:t>
      </w:r>
      <w:r w:rsidRPr="00CA076C">
        <w:rPr>
          <w:rFonts w:eastAsiaTheme="minorEastAsia"/>
        </w:rPr>
        <w:t xml:space="preserve"> Risikos kann einerseits durch eine Verringerung der Eintrittswahrscheinlichkeit erfolgen, andererseits durch eine Begrenzung der Auswirkungen des Schadens. Für das „klassische“ Controlling der IT-Sicherheit steht beides gleichberechtigt nebeneinander. </w:t>
      </w:r>
      <w:r w:rsidR="00FD56B2" w:rsidRPr="00CA076C">
        <w:rPr>
          <w:rFonts w:eastAsiaTheme="minorEastAsia"/>
        </w:rPr>
        <w:t>Art. </w:t>
      </w:r>
      <w:r w:rsidRPr="00CA076C">
        <w:rPr>
          <w:rFonts w:eastAsiaTheme="minorEastAsia"/>
        </w:rPr>
        <w:t xml:space="preserve">32 DS-GVO verlangt jedoch eine Begrenzung des Risikos für die betroffene Person. </w:t>
      </w:r>
      <w:r w:rsidR="00CB4359" w:rsidRPr="00CA076C">
        <w:rPr>
          <w:rFonts w:eastAsiaTheme="minorEastAsia"/>
        </w:rPr>
        <w:t>D. h.</w:t>
      </w:r>
      <w:r w:rsidRPr="00CA076C">
        <w:rPr>
          <w:rFonts w:eastAsiaTheme="minorEastAsia"/>
        </w:rPr>
        <w:t xml:space="preserve"> wenn durch Maßnahmen das finanzielle Risiko </w:t>
      </w:r>
      <w:r w:rsidR="00552F0C" w:rsidRPr="00CA076C">
        <w:rPr>
          <w:rFonts w:eastAsiaTheme="minorEastAsia"/>
        </w:rPr>
        <w:t>z. B.</w:t>
      </w:r>
      <w:r w:rsidRPr="00CA076C">
        <w:rPr>
          <w:rFonts w:eastAsiaTheme="minorEastAsia"/>
        </w:rPr>
        <w:t xml:space="preserve"> durch verhängte Bußgelder reduziert wird, das Risiko für die betroffene Person unverändert ist, so ist dies keine risikoreduzierende Maßnahme aus Sicht des </w:t>
      </w:r>
      <w:r w:rsidR="00FD56B2" w:rsidRPr="00CA076C">
        <w:rPr>
          <w:rFonts w:eastAsiaTheme="minorEastAsia"/>
        </w:rPr>
        <w:t>Art. </w:t>
      </w:r>
      <w:r w:rsidRPr="00CA076C">
        <w:rPr>
          <w:rFonts w:eastAsiaTheme="minorEastAsia"/>
        </w:rPr>
        <w:t>32 DS-GVO. (Gleichwohl kann die Ergreifung der Maßnahme aus Sicht des die Daten verarbeitenden Unternehmens natürlich wünschenswert sein.)</w:t>
      </w:r>
    </w:p>
    <w:p w14:paraId="2C852A8A" w14:textId="77777777" w:rsidR="0091362F" w:rsidRPr="00CA076C" w:rsidRDefault="0091362F" w:rsidP="0091362F">
      <w:pPr>
        <w:spacing w:after="0"/>
        <w:rPr>
          <w:rFonts w:eastAsiaTheme="minorEastAsia"/>
        </w:rPr>
      </w:pPr>
      <w:r w:rsidRPr="00CA076C">
        <w:rPr>
          <w:rFonts w:eastAsiaTheme="minorEastAsia"/>
        </w:rPr>
        <w:t xml:space="preserve">Leider existieren für die wenigsten Schäden im Bereich der IT belastbaren Erfahrungswerte, </w:t>
      </w:r>
      <w:r w:rsidR="00141D6D" w:rsidRPr="00CA076C">
        <w:rPr>
          <w:rFonts w:eastAsiaTheme="minorEastAsia"/>
        </w:rPr>
        <w:t>sodass</w:t>
      </w:r>
      <w:r w:rsidRPr="00CA076C">
        <w:rPr>
          <w:rFonts w:eastAsiaTheme="minorEastAsia"/>
        </w:rPr>
        <w:t xml:space="preserve"> die Berechnung des ALE-Wertes nur als Schätzung erfolgen kann. Berücksichtigt werden müssen bei der Kalkulation eines zu erwartenden Verlustes insbesondere</w:t>
      </w:r>
    </w:p>
    <w:p w14:paraId="0BBDC1F5" w14:textId="77777777" w:rsidR="0091362F" w:rsidRPr="00CA076C" w:rsidRDefault="0091362F" w:rsidP="0091362F">
      <w:pPr>
        <w:pStyle w:val="Listenabsatz"/>
        <w:numPr>
          <w:ilvl w:val="0"/>
          <w:numId w:val="6"/>
        </w:numPr>
      </w:pPr>
      <w:r w:rsidRPr="00CA076C">
        <w:t xml:space="preserve">Umsatzeinbußen, </w:t>
      </w:r>
      <w:r w:rsidR="00552F0C" w:rsidRPr="00CA076C">
        <w:t>z. B.</w:t>
      </w:r>
      <w:r w:rsidRPr="00CA076C">
        <w:t xml:space="preserve"> durch Ausfall eines Shopsystems</w:t>
      </w:r>
    </w:p>
    <w:p w14:paraId="09C694F8" w14:textId="77777777" w:rsidR="0091362F" w:rsidRPr="00CA076C" w:rsidRDefault="0091362F" w:rsidP="0091362F">
      <w:pPr>
        <w:pStyle w:val="Listenabsatz"/>
        <w:numPr>
          <w:ilvl w:val="0"/>
          <w:numId w:val="6"/>
        </w:numPr>
      </w:pPr>
      <w:r w:rsidRPr="00CA076C">
        <w:t>Produktivitätskosten, wenn beispielsweise durch den Ausfall Produkte nicht weiterentwickelt werden können</w:t>
      </w:r>
    </w:p>
    <w:p w14:paraId="224DB414" w14:textId="77777777" w:rsidR="0091362F" w:rsidRPr="00CA076C" w:rsidRDefault="0091362F" w:rsidP="0091362F">
      <w:pPr>
        <w:pStyle w:val="Listenabsatz"/>
        <w:numPr>
          <w:ilvl w:val="0"/>
          <w:numId w:val="6"/>
        </w:numPr>
      </w:pPr>
      <w:r w:rsidRPr="00CA076C">
        <w:t xml:space="preserve">Wertverlust, </w:t>
      </w:r>
      <w:r w:rsidR="00552F0C" w:rsidRPr="00CA076C">
        <w:t>z. B.</w:t>
      </w:r>
      <w:r w:rsidRPr="00CA076C">
        <w:t xml:space="preserve"> durch Imageschaden</w:t>
      </w:r>
    </w:p>
    <w:p w14:paraId="1A022FC5" w14:textId="77777777" w:rsidR="0091362F" w:rsidRPr="00CA076C" w:rsidRDefault="0091362F" w:rsidP="0091362F">
      <w:pPr>
        <w:pStyle w:val="Listenabsatz"/>
        <w:numPr>
          <w:ilvl w:val="0"/>
          <w:numId w:val="6"/>
        </w:numPr>
      </w:pPr>
      <w:r w:rsidRPr="00CA076C">
        <w:t>Wiederherstellungskosten</w:t>
      </w:r>
    </w:p>
    <w:p w14:paraId="60EF5D80" w14:textId="77777777" w:rsidR="0091362F" w:rsidRPr="00CA076C" w:rsidRDefault="0091362F" w:rsidP="0091362F">
      <w:pPr>
        <w:pStyle w:val="Listenabsatz"/>
        <w:numPr>
          <w:ilvl w:val="0"/>
          <w:numId w:val="6"/>
        </w:numPr>
      </w:pPr>
      <w:r w:rsidRPr="00CA076C">
        <w:t xml:space="preserve">Schadensersatzleistungen, </w:t>
      </w:r>
      <w:r w:rsidR="00552F0C" w:rsidRPr="00CA076C">
        <w:t>z. B.</w:t>
      </w:r>
      <w:r w:rsidRPr="00CA076C">
        <w:t xml:space="preserve"> gegenüber betroffenen Personen</w:t>
      </w:r>
    </w:p>
    <w:p w14:paraId="59E2D589" w14:textId="77777777" w:rsidR="0091362F" w:rsidRPr="00D07789" w:rsidRDefault="0091362F" w:rsidP="0091362F">
      <w:pPr>
        <w:pStyle w:val="Listenabsatz"/>
        <w:numPr>
          <w:ilvl w:val="0"/>
          <w:numId w:val="6"/>
        </w:numPr>
      </w:pPr>
      <w:r w:rsidRPr="00D07789">
        <w:t xml:space="preserve">Sanktionsmaßnahmen, wie </w:t>
      </w:r>
      <w:r w:rsidR="00552F0C" w:rsidRPr="00D07789">
        <w:t>z. B.</w:t>
      </w:r>
      <w:r w:rsidRPr="00D07789">
        <w:t xml:space="preserve"> von Aufsichtsbehörden verhängte Bußgelder.</w:t>
      </w:r>
    </w:p>
    <w:p w14:paraId="6E26C108" w14:textId="77777777" w:rsidR="0091362F" w:rsidRPr="007472EE" w:rsidRDefault="0091362F" w:rsidP="0091362F">
      <w:pPr>
        <w:spacing w:after="0"/>
      </w:pPr>
      <w:r w:rsidRPr="007472EE">
        <w:t xml:space="preserve">Beispiel: Ausfall Mail-Gateway bei </w:t>
      </w:r>
      <w:proofErr w:type="spellStart"/>
      <w:r w:rsidRPr="007472EE">
        <w:t>Denial</w:t>
      </w:r>
      <w:proofErr w:type="spellEnd"/>
      <w:r w:rsidRPr="007472EE">
        <w:t>-</w:t>
      </w:r>
      <w:proofErr w:type="spellStart"/>
      <w:r w:rsidRPr="007472EE">
        <w:t>of</w:t>
      </w:r>
      <w:proofErr w:type="spellEnd"/>
      <w:r w:rsidRPr="007472EE">
        <w:t>-Service-Attacke</w:t>
      </w:r>
    </w:p>
    <w:tbl>
      <w:tblPr>
        <w:tblStyle w:val="Tabellenraster"/>
        <w:tblW w:w="0" w:type="auto"/>
        <w:tblInd w:w="675" w:type="dxa"/>
        <w:tblLook w:val="04A0" w:firstRow="1" w:lastRow="0" w:firstColumn="1" w:lastColumn="0" w:noHBand="0" w:noVBand="1"/>
      </w:tblPr>
      <w:tblGrid>
        <w:gridCol w:w="6096"/>
        <w:gridCol w:w="2441"/>
      </w:tblGrid>
      <w:tr w:rsidR="0091362F" w:rsidRPr="007472EE" w14:paraId="364D3443" w14:textId="77777777" w:rsidTr="002E1519">
        <w:tc>
          <w:tcPr>
            <w:tcW w:w="6096" w:type="dxa"/>
          </w:tcPr>
          <w:p w14:paraId="5FC84F0F" w14:textId="77777777" w:rsidR="0091362F" w:rsidRPr="007472EE" w:rsidRDefault="0091362F" w:rsidP="002E1519">
            <w:pPr>
              <w:jc w:val="center"/>
              <w:rPr>
                <w:rFonts w:eastAsiaTheme="minorEastAsia"/>
              </w:rPr>
            </w:pPr>
            <w:r w:rsidRPr="007472EE">
              <w:rPr>
                <w:rFonts w:eastAsiaTheme="minorEastAsia"/>
              </w:rPr>
              <w:t>Kostenart</w:t>
            </w:r>
          </w:p>
        </w:tc>
        <w:tc>
          <w:tcPr>
            <w:tcW w:w="2441" w:type="dxa"/>
          </w:tcPr>
          <w:p w14:paraId="228DD5BB" w14:textId="77777777" w:rsidR="0091362F" w:rsidRPr="007472EE" w:rsidRDefault="0091362F" w:rsidP="002E1519">
            <w:pPr>
              <w:jc w:val="center"/>
              <w:rPr>
                <w:rFonts w:eastAsiaTheme="minorEastAsia"/>
              </w:rPr>
            </w:pPr>
            <w:r w:rsidRPr="007472EE">
              <w:rPr>
                <w:rFonts w:eastAsiaTheme="minorEastAsia"/>
              </w:rPr>
              <w:t>Kosten</w:t>
            </w:r>
          </w:p>
        </w:tc>
      </w:tr>
      <w:tr w:rsidR="0091362F" w:rsidRPr="007472EE" w14:paraId="7050AEEE" w14:textId="77777777" w:rsidTr="002E1519">
        <w:tc>
          <w:tcPr>
            <w:tcW w:w="6096" w:type="dxa"/>
          </w:tcPr>
          <w:p w14:paraId="4ADAB333" w14:textId="77777777" w:rsidR="0091362F" w:rsidRPr="007472EE" w:rsidRDefault="0091362F" w:rsidP="002E1519">
            <w:pPr>
              <w:rPr>
                <w:rFonts w:eastAsiaTheme="minorEastAsia"/>
              </w:rPr>
            </w:pPr>
            <w:r w:rsidRPr="007472EE">
              <w:rPr>
                <w:rFonts w:eastAsiaTheme="minorEastAsia"/>
              </w:rPr>
              <w:t>Wiederherstellungskosten:</w:t>
            </w:r>
          </w:p>
          <w:p w14:paraId="43198298" w14:textId="77777777" w:rsidR="0091362F" w:rsidRPr="007472EE" w:rsidRDefault="0091362F" w:rsidP="002E1519">
            <w:pPr>
              <w:pStyle w:val="Listenabsatz"/>
              <w:numPr>
                <w:ilvl w:val="0"/>
                <w:numId w:val="8"/>
              </w:numPr>
              <w:ind w:left="459"/>
              <w:rPr>
                <w:rFonts w:eastAsiaTheme="minorEastAsia"/>
              </w:rPr>
            </w:pPr>
            <w:r w:rsidRPr="007472EE">
              <w:rPr>
                <w:rFonts w:eastAsiaTheme="minorEastAsia"/>
              </w:rPr>
              <w:t>externer Berater (4 Stunden, Stundensatz 250 Euro)</w:t>
            </w:r>
          </w:p>
        </w:tc>
        <w:tc>
          <w:tcPr>
            <w:tcW w:w="2441" w:type="dxa"/>
          </w:tcPr>
          <w:p w14:paraId="44B3DD9B" w14:textId="77777777" w:rsidR="0091362F" w:rsidRPr="007472EE" w:rsidRDefault="0091362F" w:rsidP="002E1519">
            <w:pPr>
              <w:jc w:val="right"/>
              <w:rPr>
                <w:rFonts w:eastAsiaTheme="minorEastAsia"/>
              </w:rPr>
            </w:pPr>
          </w:p>
          <w:p w14:paraId="43495BB9" w14:textId="77777777" w:rsidR="0091362F" w:rsidRPr="007472EE" w:rsidRDefault="0091362F" w:rsidP="002E1519">
            <w:pPr>
              <w:jc w:val="right"/>
              <w:rPr>
                <w:rFonts w:eastAsiaTheme="minorEastAsia"/>
              </w:rPr>
            </w:pPr>
            <w:r w:rsidRPr="007472EE">
              <w:rPr>
                <w:rFonts w:eastAsiaTheme="minorEastAsia"/>
              </w:rPr>
              <w:t>1.000,00 €</w:t>
            </w:r>
          </w:p>
        </w:tc>
      </w:tr>
      <w:tr w:rsidR="0091362F" w:rsidRPr="007472EE" w14:paraId="6A785E6D" w14:textId="77777777" w:rsidTr="002E1519">
        <w:tc>
          <w:tcPr>
            <w:tcW w:w="6096" w:type="dxa"/>
          </w:tcPr>
          <w:p w14:paraId="6253E1C9" w14:textId="77777777" w:rsidR="0091362F" w:rsidRPr="007472EE" w:rsidRDefault="0091362F" w:rsidP="002E1519">
            <w:pPr>
              <w:rPr>
                <w:rFonts w:eastAsiaTheme="minorEastAsia"/>
              </w:rPr>
            </w:pPr>
            <w:r w:rsidRPr="007472EE">
              <w:rPr>
                <w:rFonts w:eastAsiaTheme="minorEastAsia"/>
              </w:rPr>
              <w:t>Umsatzeinbußen</w:t>
            </w:r>
          </w:p>
          <w:p w14:paraId="4709C9A4" w14:textId="77777777" w:rsidR="0091362F" w:rsidRPr="007472EE" w:rsidRDefault="0091362F" w:rsidP="002E1519">
            <w:pPr>
              <w:pStyle w:val="Listenabsatz"/>
              <w:numPr>
                <w:ilvl w:val="0"/>
                <w:numId w:val="8"/>
              </w:numPr>
              <w:ind w:left="459"/>
              <w:rPr>
                <w:rFonts w:eastAsiaTheme="minorEastAsia"/>
              </w:rPr>
            </w:pPr>
            <w:r w:rsidRPr="007472EE">
              <w:rPr>
                <w:rFonts w:eastAsiaTheme="minorEastAsia"/>
              </w:rPr>
              <w:t>0,5 Aufträge /Stunde Ausfall (pro Auftrag ~ 5.600 Euro)</w:t>
            </w:r>
          </w:p>
        </w:tc>
        <w:tc>
          <w:tcPr>
            <w:tcW w:w="2441" w:type="dxa"/>
          </w:tcPr>
          <w:p w14:paraId="5D896873" w14:textId="77777777" w:rsidR="0091362F" w:rsidRPr="007472EE" w:rsidRDefault="0091362F" w:rsidP="002E1519">
            <w:pPr>
              <w:jc w:val="right"/>
              <w:rPr>
                <w:rFonts w:eastAsiaTheme="minorEastAsia"/>
              </w:rPr>
            </w:pPr>
          </w:p>
          <w:p w14:paraId="7B78F5BD" w14:textId="77777777" w:rsidR="0091362F" w:rsidRPr="007472EE" w:rsidRDefault="0091362F" w:rsidP="002E1519">
            <w:pPr>
              <w:jc w:val="right"/>
              <w:rPr>
                <w:rFonts w:eastAsiaTheme="minorEastAsia"/>
              </w:rPr>
            </w:pPr>
            <w:r w:rsidRPr="007472EE">
              <w:rPr>
                <w:rFonts w:eastAsiaTheme="minorEastAsia"/>
              </w:rPr>
              <w:t>11.200,00 €</w:t>
            </w:r>
          </w:p>
        </w:tc>
      </w:tr>
      <w:tr w:rsidR="0091362F" w:rsidRPr="007472EE" w14:paraId="62D27FB1" w14:textId="77777777" w:rsidTr="002E1519">
        <w:tc>
          <w:tcPr>
            <w:tcW w:w="6096" w:type="dxa"/>
            <w:tcBorders>
              <w:bottom w:val="single" w:sz="4" w:space="0" w:color="auto"/>
            </w:tcBorders>
          </w:tcPr>
          <w:p w14:paraId="26CB64B9" w14:textId="77777777" w:rsidR="0091362F" w:rsidRPr="007472EE" w:rsidRDefault="0091362F" w:rsidP="002E1519">
            <w:pPr>
              <w:rPr>
                <w:rFonts w:eastAsiaTheme="minorEastAsia"/>
              </w:rPr>
            </w:pPr>
            <w:r w:rsidRPr="007472EE">
              <w:rPr>
                <w:rFonts w:eastAsiaTheme="minorEastAsia"/>
              </w:rPr>
              <w:t>Produktivitätskosten:</w:t>
            </w:r>
          </w:p>
          <w:p w14:paraId="63E3E0FA" w14:textId="77777777" w:rsidR="0091362F" w:rsidRPr="007472EE" w:rsidRDefault="0091362F" w:rsidP="002E1519">
            <w:pPr>
              <w:pStyle w:val="Listenabsatz"/>
              <w:numPr>
                <w:ilvl w:val="0"/>
                <w:numId w:val="8"/>
              </w:numPr>
              <w:ind w:left="459"/>
              <w:rPr>
                <w:rFonts w:eastAsiaTheme="minorEastAsia"/>
              </w:rPr>
            </w:pPr>
            <w:r w:rsidRPr="007472EE">
              <w:rPr>
                <w:rFonts w:eastAsiaTheme="minorEastAsia"/>
              </w:rPr>
              <w:t>12 Beschäftigte im Marketing (Ausfall 4 Stunden, Stundenlohn 18,60 Euro)</w:t>
            </w:r>
          </w:p>
          <w:p w14:paraId="383AB382" w14:textId="77777777" w:rsidR="0091362F" w:rsidRPr="007472EE" w:rsidRDefault="0091362F" w:rsidP="002E1519">
            <w:pPr>
              <w:pStyle w:val="Listenabsatz"/>
              <w:numPr>
                <w:ilvl w:val="0"/>
                <w:numId w:val="8"/>
              </w:numPr>
              <w:ind w:left="459"/>
              <w:rPr>
                <w:rFonts w:eastAsiaTheme="minorEastAsia"/>
              </w:rPr>
            </w:pPr>
            <w:r w:rsidRPr="007472EE">
              <w:rPr>
                <w:rFonts w:eastAsiaTheme="minorEastAsia"/>
              </w:rPr>
              <w:t>Fax statt Mailbestätigung für eingegangene Aufträge</w:t>
            </w:r>
            <w:r w:rsidRPr="007472EE">
              <w:rPr>
                <w:rFonts w:eastAsiaTheme="minorEastAsia"/>
              </w:rPr>
              <w:br/>
              <w:t>(25 x, Kosten je Fax 0,10 Euro)</w:t>
            </w:r>
          </w:p>
        </w:tc>
        <w:tc>
          <w:tcPr>
            <w:tcW w:w="2441" w:type="dxa"/>
            <w:tcBorders>
              <w:bottom w:val="single" w:sz="4" w:space="0" w:color="auto"/>
            </w:tcBorders>
          </w:tcPr>
          <w:p w14:paraId="3F055027" w14:textId="77777777" w:rsidR="0091362F" w:rsidRPr="007472EE" w:rsidRDefault="0091362F" w:rsidP="002E1519">
            <w:pPr>
              <w:jc w:val="right"/>
              <w:rPr>
                <w:rFonts w:eastAsiaTheme="minorEastAsia"/>
              </w:rPr>
            </w:pPr>
          </w:p>
          <w:p w14:paraId="49E0BE69" w14:textId="77777777" w:rsidR="0091362F" w:rsidRPr="007472EE" w:rsidRDefault="0091362F" w:rsidP="002E1519">
            <w:pPr>
              <w:jc w:val="right"/>
              <w:rPr>
                <w:rFonts w:eastAsiaTheme="minorEastAsia"/>
              </w:rPr>
            </w:pPr>
            <w:r w:rsidRPr="007472EE">
              <w:rPr>
                <w:rFonts w:eastAsiaTheme="minorEastAsia"/>
              </w:rPr>
              <w:t>892,80 €</w:t>
            </w:r>
            <w:r w:rsidRPr="007472EE">
              <w:rPr>
                <w:rFonts w:eastAsiaTheme="minorEastAsia"/>
              </w:rPr>
              <w:br/>
            </w:r>
          </w:p>
          <w:p w14:paraId="4DF59E9B" w14:textId="77777777" w:rsidR="0091362F" w:rsidRPr="007472EE" w:rsidRDefault="0091362F" w:rsidP="002E1519">
            <w:pPr>
              <w:jc w:val="right"/>
              <w:rPr>
                <w:rFonts w:eastAsiaTheme="minorEastAsia"/>
              </w:rPr>
            </w:pPr>
            <w:r w:rsidRPr="007472EE">
              <w:rPr>
                <w:rFonts w:eastAsiaTheme="minorEastAsia"/>
              </w:rPr>
              <w:t>2,50 €</w:t>
            </w:r>
          </w:p>
        </w:tc>
      </w:tr>
      <w:tr w:rsidR="0091362F" w:rsidRPr="007472EE" w14:paraId="1D187D59" w14:textId="77777777" w:rsidTr="002E1519">
        <w:tc>
          <w:tcPr>
            <w:tcW w:w="6096" w:type="dxa"/>
            <w:tcBorders>
              <w:left w:val="nil"/>
              <w:bottom w:val="nil"/>
            </w:tcBorders>
          </w:tcPr>
          <w:p w14:paraId="40798BE8" w14:textId="77777777" w:rsidR="0091362F" w:rsidRPr="007472EE" w:rsidRDefault="0091362F" w:rsidP="002E1519">
            <w:pPr>
              <w:jc w:val="right"/>
              <w:rPr>
                <w:rFonts w:eastAsiaTheme="minorEastAsia"/>
              </w:rPr>
            </w:pPr>
            <w:r w:rsidRPr="007472EE">
              <w:rPr>
                <w:rFonts w:eastAsiaTheme="minorEastAsia"/>
              </w:rPr>
              <w:t>Kosten einmaliger Ausfall:</w:t>
            </w:r>
          </w:p>
        </w:tc>
        <w:tc>
          <w:tcPr>
            <w:tcW w:w="2441" w:type="dxa"/>
            <w:tcBorders>
              <w:bottom w:val="nil"/>
              <w:right w:val="nil"/>
            </w:tcBorders>
          </w:tcPr>
          <w:p w14:paraId="11F91E9F" w14:textId="77777777" w:rsidR="0091362F" w:rsidRPr="007472EE" w:rsidRDefault="0091362F" w:rsidP="002E1519">
            <w:pPr>
              <w:jc w:val="right"/>
              <w:rPr>
                <w:rFonts w:eastAsiaTheme="minorEastAsia"/>
              </w:rPr>
            </w:pPr>
            <w:r w:rsidRPr="007472EE">
              <w:rPr>
                <w:rFonts w:eastAsiaTheme="minorEastAsia"/>
              </w:rPr>
              <w:t>13.095,30 €</w:t>
            </w:r>
          </w:p>
        </w:tc>
      </w:tr>
    </w:tbl>
    <w:p w14:paraId="4F8D9307" w14:textId="77777777" w:rsidR="0091362F" w:rsidRPr="007472EE" w:rsidRDefault="0091362F" w:rsidP="00597483">
      <w:pPr>
        <w:spacing w:after="0"/>
      </w:pPr>
      <w:r w:rsidRPr="007472EE">
        <w:t>Auch die Kosten für die Implementierung einer Schutzmaßnahme setzen sich aus unterschiedlichen Kostenblöcken zusammen:</w:t>
      </w:r>
    </w:p>
    <w:p w14:paraId="054E4944" w14:textId="77777777" w:rsidR="0091362F" w:rsidRPr="007472EE" w:rsidRDefault="0091362F" w:rsidP="0091362F">
      <w:pPr>
        <w:pStyle w:val="Listenabsatz"/>
        <w:numPr>
          <w:ilvl w:val="0"/>
          <w:numId w:val="7"/>
        </w:numPr>
      </w:pPr>
      <w:r w:rsidRPr="007472EE">
        <w:lastRenderedPageBreak/>
        <w:t xml:space="preserve">Konzeptionskosten, </w:t>
      </w:r>
      <w:r w:rsidR="00552F0C" w:rsidRPr="007472EE">
        <w:t>z. B.</w:t>
      </w:r>
      <w:r w:rsidRPr="007472EE">
        <w:t xml:space="preserve"> Entwicklung bzw. Auswahl der Lösung, Testbetrieb, Anpassungen an die eigene Infrastruktur</w:t>
      </w:r>
    </w:p>
    <w:p w14:paraId="275D6163" w14:textId="77777777" w:rsidR="0091362F" w:rsidRPr="007472EE" w:rsidRDefault="0091362F" w:rsidP="0091362F">
      <w:pPr>
        <w:pStyle w:val="Listenabsatz"/>
        <w:numPr>
          <w:ilvl w:val="0"/>
          <w:numId w:val="7"/>
        </w:numPr>
      </w:pPr>
      <w:r w:rsidRPr="007472EE">
        <w:t>Investitionskosten, wie beispielsweise anzuschaffende Hardware, Software, Schulungskosten, Installation/Konfiguration</w:t>
      </w:r>
    </w:p>
    <w:p w14:paraId="446DE8D5" w14:textId="77777777" w:rsidR="0091362F" w:rsidRPr="007472EE" w:rsidRDefault="0091362F" w:rsidP="0091362F">
      <w:pPr>
        <w:pStyle w:val="Listenabsatz"/>
        <w:numPr>
          <w:ilvl w:val="0"/>
          <w:numId w:val="7"/>
        </w:numPr>
      </w:pPr>
      <w:r w:rsidRPr="007472EE">
        <w:t>Betriebskosten, Kosten für Support. Lizenzkosten, usw.</w:t>
      </w:r>
    </w:p>
    <w:p w14:paraId="478A135D" w14:textId="77777777" w:rsidR="0091362F" w:rsidRPr="00CA076C" w:rsidRDefault="0091362F" w:rsidP="0091362F">
      <w:pPr>
        <w:rPr>
          <w:rFonts w:eastAsiaTheme="minorEastAsia"/>
        </w:rPr>
      </w:pPr>
      <w:r w:rsidRPr="007472EE">
        <w:t xml:space="preserve">Aus diesen drei Kostenblöcken werden die Gesamtkosten der Sicherheitsmaßnahmen (Total </w:t>
      </w:r>
      <w:proofErr w:type="spellStart"/>
      <w:r w:rsidRPr="007472EE">
        <w:t>Cost</w:t>
      </w:r>
      <w:proofErr w:type="spellEnd"/>
      <w:r w:rsidRPr="007472EE">
        <w:t xml:space="preserve"> </w:t>
      </w:r>
      <w:proofErr w:type="spellStart"/>
      <w:r w:rsidRPr="007472EE">
        <w:t>of</w:t>
      </w:r>
      <w:proofErr w:type="spellEnd"/>
      <w:r w:rsidRPr="007472EE">
        <w:t xml:space="preserve"> Ownership, TCO) berechnet. Hierbei ist zu beachten, dass Einmalkosten über den Betriebszeitraum abgeschrieben werden: </w:t>
      </w:r>
      <m:oMath>
        <m:r>
          <w:rPr>
            <w:rFonts w:ascii="Cambria Math" w:hAnsi="Cambria Math"/>
          </w:rPr>
          <m:t>TCO=</m:t>
        </m:r>
        <m:f>
          <m:fPr>
            <m:ctrlPr>
              <w:rPr>
                <w:rFonts w:ascii="Cambria Math" w:hAnsi="Cambria Math"/>
                <w:i/>
              </w:rPr>
            </m:ctrlPr>
          </m:fPr>
          <m:num>
            <m:r>
              <w:rPr>
                <w:rFonts w:ascii="Cambria Math" w:hAnsi="Cambria Math"/>
              </w:rPr>
              <m:t>Konzeptionskosten+Investitionskosten</m:t>
            </m:r>
          </m:num>
          <m:den>
            <m:r>
              <w:rPr>
                <w:rFonts w:ascii="Cambria Math" w:hAnsi="Cambria Math"/>
              </w:rPr>
              <m:t>Betriebszeitraum</m:t>
            </m:r>
          </m:den>
        </m:f>
        <m:r>
          <w:rPr>
            <w:rFonts w:ascii="Cambria Math" w:hAnsi="Cambria Math"/>
          </w:rPr>
          <m:t>+Betriebskost</m:t>
        </m:r>
        <m:r>
          <w:rPr>
            <w:rFonts w:ascii="Cambria Math" w:hAnsi="Cambria Math"/>
          </w:rPr>
          <m:t>en</m:t>
        </m:r>
      </m:oMath>
      <w:r w:rsidRPr="00CA076C">
        <w:rPr>
          <w:rFonts w:eastAsiaTheme="minorEastAsia"/>
        </w:rPr>
        <w:t>.</w:t>
      </w:r>
    </w:p>
    <w:p w14:paraId="1715A46A" w14:textId="77777777" w:rsidR="0091362F" w:rsidRPr="00CA076C" w:rsidRDefault="0091362F" w:rsidP="0091362F">
      <w:proofErr w:type="spellStart"/>
      <w:r w:rsidRPr="00CA076C">
        <w:t>RoSI</w:t>
      </w:r>
      <w:proofErr w:type="spellEnd"/>
      <w:r w:rsidRPr="00CA076C">
        <w:t xml:space="preserve"> berechnet sich jetzt dadurch, dass der ALE-Wert vor und nach Einführung der IT-Sicherheitsmaßnahmen betrachtet wird: </w:t>
      </w:r>
      <m:oMath>
        <m:r>
          <w:rPr>
            <w:rFonts w:ascii="Cambria Math" w:hAnsi="Cambria Math"/>
          </w:rPr>
          <m:t>RoSI=</m:t>
        </m:r>
        <m:f>
          <m:fPr>
            <m:ctrlPr>
              <w:rPr>
                <w:rFonts w:ascii="Cambria Math" w:hAnsi="Cambria Math"/>
                <w:i/>
              </w:rPr>
            </m:ctrlPr>
          </m:fPr>
          <m:num>
            <m:sSub>
              <m:sSubPr>
                <m:ctrlPr>
                  <w:rPr>
                    <w:rFonts w:ascii="Cambria Math" w:hAnsi="Cambria Math"/>
                    <w:i/>
                  </w:rPr>
                </m:ctrlPr>
              </m:sSubPr>
              <m:e>
                <m:r>
                  <w:rPr>
                    <w:rFonts w:ascii="Cambria Math" w:hAnsi="Cambria Math"/>
                  </w:rPr>
                  <m:t>(ALE</m:t>
                </m:r>
              </m:e>
              <m:sub>
                <m:r>
                  <w:rPr>
                    <w:rFonts w:ascii="Cambria Math" w:hAnsi="Cambria Math"/>
                  </w:rPr>
                  <m:t>alt</m:t>
                </m:r>
              </m:sub>
            </m:sSub>
            <m:r>
              <w:rPr>
                <w:rFonts w:ascii="Cambria Math" w:hAnsi="Cambria Math"/>
              </w:rPr>
              <m:t xml:space="preserve">- </m:t>
            </m:r>
            <m:sSub>
              <m:sSubPr>
                <m:ctrlPr>
                  <w:rPr>
                    <w:rFonts w:ascii="Cambria Math" w:hAnsi="Cambria Math"/>
                    <w:i/>
                  </w:rPr>
                </m:ctrlPr>
              </m:sSubPr>
              <m:e>
                <m:r>
                  <w:rPr>
                    <w:rFonts w:ascii="Cambria Math" w:hAnsi="Cambria Math"/>
                  </w:rPr>
                  <m:t>ALE</m:t>
                </m:r>
              </m:e>
              <m:sub>
                <m:r>
                  <w:rPr>
                    <w:rFonts w:ascii="Cambria Math" w:hAnsi="Cambria Math"/>
                  </w:rPr>
                  <m:t>neu</m:t>
                </m:r>
              </m:sub>
            </m:sSub>
            <m:r>
              <w:rPr>
                <w:rFonts w:ascii="Cambria Math" w:hAnsi="Cambria Math"/>
              </w:rPr>
              <m:t>)-TCO</m:t>
            </m:r>
          </m:num>
          <m:den>
            <m:r>
              <w:rPr>
                <w:rFonts w:ascii="Cambria Math" w:hAnsi="Cambria Math"/>
              </w:rPr>
              <m:t>TCO</m:t>
            </m:r>
          </m:den>
        </m:f>
      </m:oMath>
      <w:r w:rsidRPr="00CA076C">
        <w:rPr>
          <w:rFonts w:eastAsiaTheme="minorEastAsia"/>
        </w:rPr>
        <w:t>. Oder in Worte gefasst: die erwartete Ersparnis beim ALE-Wert (</w:t>
      </w:r>
      <m:oMath>
        <m:sSub>
          <m:sSubPr>
            <m:ctrlPr>
              <w:rPr>
                <w:rFonts w:ascii="Cambria Math" w:eastAsiaTheme="minorEastAsia" w:hAnsi="Cambria Math"/>
                <w:i/>
              </w:rPr>
            </m:ctrlPr>
          </m:sSubPr>
          <m:e>
            <m:r>
              <w:rPr>
                <w:rFonts w:ascii="Cambria Math" w:eastAsiaTheme="minorEastAsia" w:hAnsi="Cambria Math"/>
              </w:rPr>
              <m:t>ALE</m:t>
            </m:r>
          </m:e>
          <m:sub>
            <m:r>
              <w:rPr>
                <w:rFonts w:ascii="Cambria Math" w:eastAsiaTheme="minorEastAsia" w:hAnsi="Cambria Math"/>
              </w:rPr>
              <m:t>Alt</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ALE</m:t>
            </m:r>
          </m:e>
          <m:sub>
            <m:r>
              <w:rPr>
                <w:rFonts w:ascii="Cambria Math" w:eastAsiaTheme="minorEastAsia" w:hAnsi="Cambria Math"/>
              </w:rPr>
              <m:t>neu</m:t>
            </m:r>
          </m:sub>
        </m:sSub>
      </m:oMath>
      <w:r w:rsidRPr="00CA076C">
        <w:rPr>
          <w:rFonts w:eastAsiaTheme="minorEastAsia"/>
        </w:rPr>
        <w:t>) muss über den Anschaffungs- und Betriebskosten liegen, dann ist die Maßnahme aus betriebswirtschaftlicher Sicht sinnvoll.</w:t>
      </w:r>
    </w:p>
    <w:p w14:paraId="345130E1" w14:textId="77777777" w:rsidR="00DA2B23" w:rsidRPr="00CA076C" w:rsidRDefault="00DA2B23" w:rsidP="00DA2B23">
      <w:pPr>
        <w:pStyle w:val="berschrift3"/>
      </w:pPr>
      <w:bookmarkStart w:id="84" w:name="_Toc503456495"/>
      <w:r w:rsidRPr="00CA076C">
        <w:t xml:space="preserve">Grenzen der </w:t>
      </w:r>
      <w:proofErr w:type="spellStart"/>
      <w:r w:rsidRPr="00CA076C">
        <w:t>RoSI</w:t>
      </w:r>
      <w:proofErr w:type="spellEnd"/>
      <w:r w:rsidRPr="00CA076C">
        <w:t>-Methode</w:t>
      </w:r>
      <w:bookmarkEnd w:id="84"/>
    </w:p>
    <w:p w14:paraId="29CCEE53" w14:textId="77777777" w:rsidR="00DA2B23" w:rsidRPr="00CA076C" w:rsidRDefault="00DA2B23" w:rsidP="00DA2B23">
      <w:r w:rsidRPr="00CA076C">
        <w:t xml:space="preserve">Im Berechnungsansatz wird vereinfachend davon ausgegangen, dass ein Risiko von einer Sicherheitsmaßnahme adressiert wird. In der Praxis adressiert eine Maßnahme häufig mehr als ein Sicherheitsrisiko, </w:t>
      </w:r>
      <w:r w:rsidR="00552F0C" w:rsidRPr="00CA076C">
        <w:t>z. B.</w:t>
      </w:r>
      <w:r w:rsidRPr="00CA076C">
        <w:t xml:space="preserve"> soll eine Firewall </w:t>
      </w:r>
      <w:proofErr w:type="spellStart"/>
      <w:r w:rsidRPr="00CA076C">
        <w:t>Denial</w:t>
      </w:r>
      <w:proofErr w:type="spellEnd"/>
      <w:r w:rsidRPr="00CA076C">
        <w:t>-</w:t>
      </w:r>
      <w:proofErr w:type="spellStart"/>
      <w:r w:rsidRPr="00CA076C">
        <w:t>of</w:t>
      </w:r>
      <w:proofErr w:type="spellEnd"/>
      <w:r w:rsidRPr="00CA076C">
        <w:t xml:space="preserve">-Service-Attacken ebenso verhindern wie das Eindringen unbefugter in das eigene Rechnernetz. Andererseits können Maßnahmen auch neue Risiken in sich bergen, </w:t>
      </w:r>
      <w:r w:rsidR="00552F0C" w:rsidRPr="00CA076C">
        <w:t>z. B.</w:t>
      </w:r>
      <w:r w:rsidRPr="00CA076C">
        <w:t xml:space="preserve"> muss zur Fernwartung Dritten Zugriff auf das eigene Rechnernetz gewährt werden, was grundsätzlich einen potentiellen Missbrauch des Zugangs beinhaltet (</w:t>
      </w:r>
      <w:r w:rsidR="00552F0C" w:rsidRPr="00CA076C">
        <w:t>z. B.</w:t>
      </w:r>
      <w:r w:rsidRPr="00CA076C">
        <w:t xml:space="preserve"> durch einen Zugriff Unbefugter auf das Netz der fernwartenden Partei) und somit immer auch eine Sicherheitslücke darstellt. Weiterhin wird davon ausgegangen, dass eine Schadenswiederholung einen gleichbleibenden Schaden verursacht. Jedoch wird ein einmaliger Sicherheitsvorfall in einer Bank oder einem Krankenhaus durch die Öffentlichkeit anders bewertet, als wenn einmal pro Monat ein entsprechender Vorfall passiert, was wiederum in einem gesteigerten Imageverlust resultiert. Ferner besteht der „Gewinn“ in der Betrachtung in einer Verminderung eines operationellen Risikos, also eines Erwartungswertes für die Kosten von Sicherheitsvorfällen; ob dadurch tatsächlich Einsparungen erzielt worden sind, lässt sich selbst nachträglich nach Eintritt eines Schadensfalls selten feststellen.</w:t>
      </w:r>
    </w:p>
    <w:p w14:paraId="35DF9DAD" w14:textId="77777777" w:rsidR="00DA2B23" w:rsidRPr="00CA076C" w:rsidRDefault="00CB4359" w:rsidP="00DA2B23">
      <w:r w:rsidRPr="00CA076C">
        <w:t>D. h.</w:t>
      </w:r>
      <w:r w:rsidR="00DA2B23" w:rsidRPr="00CA076C">
        <w:t xml:space="preserve"> die Abschätzung wird sicherlich nicht die Wirklichkeit widerspiegeln, jedoch kann </w:t>
      </w:r>
      <w:proofErr w:type="spellStart"/>
      <w:r w:rsidR="00DA2B23" w:rsidRPr="00CA076C">
        <w:t>RoSI</w:t>
      </w:r>
      <w:proofErr w:type="spellEnd"/>
      <w:r w:rsidR="00DA2B23" w:rsidRPr="00CA076C">
        <w:t xml:space="preserve"> die Tendenz recht gut darstellen</w:t>
      </w:r>
      <w:r w:rsidR="003070D7" w:rsidRPr="00CA076C">
        <w:rPr>
          <w:rStyle w:val="Funotenzeichen"/>
        </w:rPr>
        <w:footnoteReference w:id="9"/>
      </w:r>
      <w:r w:rsidR="00DA2B23" w:rsidRPr="00CA076C">
        <w:t xml:space="preserve">. Daher erscheint </w:t>
      </w:r>
      <w:proofErr w:type="spellStart"/>
      <w:r w:rsidR="00DA2B23" w:rsidRPr="00CA076C">
        <w:t>RoSI</w:t>
      </w:r>
      <w:proofErr w:type="spellEnd"/>
      <w:r w:rsidR="00DA2B23" w:rsidRPr="00CA076C">
        <w:t xml:space="preserve"> gut geeignet, um für Dritte wie </w:t>
      </w:r>
      <w:r w:rsidR="00552F0C" w:rsidRPr="00CA076C">
        <w:t>z. B.</w:t>
      </w:r>
      <w:r w:rsidR="00DA2B23" w:rsidRPr="00CA076C">
        <w:t xml:space="preserve"> Aufsichtsbehörden nachvollziehbar darlegen zu können, warum Investitionskosten für IT-Sicherheitsmaßnahmen für ein Unternehmen tragbar sind oder nicht.</w:t>
      </w:r>
    </w:p>
    <w:p w14:paraId="5EB0C02D" w14:textId="77777777" w:rsidR="00017132" w:rsidRPr="00CA076C" w:rsidRDefault="00017132" w:rsidP="0091362F">
      <w:pPr>
        <w:pStyle w:val="berschrift2"/>
      </w:pPr>
      <w:bookmarkStart w:id="85" w:name="_Toc503456496"/>
      <w:r w:rsidRPr="00CA076C">
        <w:lastRenderedPageBreak/>
        <w:t>Art, Umfangs, Umstände und Zwecke der Verarbeitung</w:t>
      </w:r>
      <w:bookmarkEnd w:id="85"/>
    </w:p>
    <w:p w14:paraId="3DC95F61" w14:textId="77777777" w:rsidR="00F74306" w:rsidRPr="00CA076C" w:rsidRDefault="00F74306" w:rsidP="00F74306">
      <w:pPr>
        <w:pStyle w:val="berschrift3"/>
      </w:pPr>
      <w:bookmarkStart w:id="86" w:name="_Toc503456497"/>
      <w:r w:rsidRPr="00CA076C">
        <w:t>Verarbeitung</w:t>
      </w:r>
      <w:bookmarkEnd w:id="86"/>
    </w:p>
    <w:p w14:paraId="715CEEB1" w14:textId="77777777" w:rsidR="0073395C" w:rsidRPr="00CA076C" w:rsidRDefault="0073395C" w:rsidP="0073395C">
      <w:pPr>
        <w:spacing w:after="0"/>
      </w:pPr>
      <w:r w:rsidRPr="00CA076C">
        <w:t xml:space="preserve">Der Begriff der Verarbeitung ist in der DS-GVO weiter gefasst als im bisherigen deutschen Datenschutzrecht. </w:t>
      </w:r>
      <w:r w:rsidR="00FD56B2" w:rsidRPr="00CA076C">
        <w:t>Art. </w:t>
      </w:r>
      <w:r w:rsidRPr="00CA076C">
        <w:t>4 Ziff. 2 DS-GVO nennt als Arten der Verarbeitung insbesondere:</w:t>
      </w:r>
    </w:p>
    <w:p w14:paraId="153DF011" w14:textId="77777777" w:rsidR="0073395C" w:rsidRPr="00CA076C" w:rsidRDefault="0073395C" w:rsidP="0073395C">
      <w:pPr>
        <w:pStyle w:val="Listenabsatz"/>
        <w:numPr>
          <w:ilvl w:val="0"/>
          <w:numId w:val="26"/>
        </w:numPr>
        <w:spacing w:before="40" w:after="80"/>
        <w:jc w:val="left"/>
      </w:pPr>
      <w:r w:rsidRPr="00CA076C">
        <w:t>Erheben,</w:t>
      </w:r>
    </w:p>
    <w:p w14:paraId="042F8815" w14:textId="77777777" w:rsidR="0073395C" w:rsidRPr="00CA076C" w:rsidRDefault="0073395C" w:rsidP="0073395C">
      <w:pPr>
        <w:pStyle w:val="Listenabsatz"/>
        <w:numPr>
          <w:ilvl w:val="0"/>
          <w:numId w:val="26"/>
        </w:numPr>
        <w:spacing w:before="40" w:after="80"/>
        <w:jc w:val="left"/>
      </w:pPr>
      <w:r w:rsidRPr="00CA076C">
        <w:t>Erfassen,</w:t>
      </w:r>
    </w:p>
    <w:p w14:paraId="2E84412E" w14:textId="77777777" w:rsidR="0073395C" w:rsidRPr="00CA076C" w:rsidRDefault="0073395C" w:rsidP="0073395C">
      <w:pPr>
        <w:pStyle w:val="Listenabsatz"/>
        <w:numPr>
          <w:ilvl w:val="0"/>
          <w:numId w:val="26"/>
        </w:numPr>
        <w:spacing w:before="40" w:after="80"/>
        <w:jc w:val="left"/>
      </w:pPr>
      <w:r w:rsidRPr="00CA076C">
        <w:t>Organisation,</w:t>
      </w:r>
    </w:p>
    <w:p w14:paraId="22C55A5A" w14:textId="77777777" w:rsidR="0073395C" w:rsidRPr="00CA076C" w:rsidRDefault="0073395C" w:rsidP="0073395C">
      <w:pPr>
        <w:pStyle w:val="Listenabsatz"/>
        <w:numPr>
          <w:ilvl w:val="0"/>
          <w:numId w:val="26"/>
        </w:numPr>
        <w:spacing w:before="40" w:after="80"/>
        <w:jc w:val="left"/>
      </w:pPr>
      <w:r w:rsidRPr="00CA076C">
        <w:t>Ordnen,</w:t>
      </w:r>
    </w:p>
    <w:p w14:paraId="082803F8" w14:textId="77777777" w:rsidR="0073395C" w:rsidRPr="00CA076C" w:rsidRDefault="0073395C" w:rsidP="0073395C">
      <w:pPr>
        <w:pStyle w:val="Listenabsatz"/>
        <w:numPr>
          <w:ilvl w:val="0"/>
          <w:numId w:val="26"/>
        </w:numPr>
        <w:spacing w:before="40" w:after="80"/>
        <w:jc w:val="left"/>
      </w:pPr>
      <w:r w:rsidRPr="00CA076C">
        <w:t>Speicherung,</w:t>
      </w:r>
    </w:p>
    <w:p w14:paraId="022CE956" w14:textId="77777777" w:rsidR="0073395C" w:rsidRPr="00CA076C" w:rsidRDefault="0073395C" w:rsidP="0073395C">
      <w:pPr>
        <w:pStyle w:val="Listenabsatz"/>
        <w:numPr>
          <w:ilvl w:val="0"/>
          <w:numId w:val="26"/>
        </w:numPr>
        <w:spacing w:before="40" w:after="80"/>
        <w:jc w:val="left"/>
      </w:pPr>
      <w:r w:rsidRPr="00CA076C">
        <w:t>Anpassung oder Veränderung,</w:t>
      </w:r>
    </w:p>
    <w:p w14:paraId="10002A1D" w14:textId="77777777" w:rsidR="0073395C" w:rsidRPr="00CA076C" w:rsidRDefault="0073395C" w:rsidP="0073395C">
      <w:pPr>
        <w:pStyle w:val="Listenabsatz"/>
        <w:numPr>
          <w:ilvl w:val="0"/>
          <w:numId w:val="26"/>
        </w:numPr>
        <w:spacing w:before="40" w:after="80"/>
        <w:jc w:val="left"/>
      </w:pPr>
      <w:r w:rsidRPr="00CA076C">
        <w:t>Auslesen,</w:t>
      </w:r>
    </w:p>
    <w:p w14:paraId="715C51E8" w14:textId="77777777" w:rsidR="0073395C" w:rsidRPr="00CA076C" w:rsidRDefault="0073395C" w:rsidP="0073395C">
      <w:pPr>
        <w:pStyle w:val="Listenabsatz"/>
        <w:numPr>
          <w:ilvl w:val="0"/>
          <w:numId w:val="26"/>
        </w:numPr>
        <w:spacing w:before="40" w:after="80"/>
        <w:jc w:val="left"/>
      </w:pPr>
      <w:r w:rsidRPr="00CA076C">
        <w:t>Abfragen,</w:t>
      </w:r>
    </w:p>
    <w:p w14:paraId="7DBF2B09" w14:textId="77777777" w:rsidR="0073395C" w:rsidRPr="00CA076C" w:rsidRDefault="0073395C" w:rsidP="0073395C">
      <w:pPr>
        <w:pStyle w:val="Listenabsatz"/>
        <w:numPr>
          <w:ilvl w:val="0"/>
          <w:numId w:val="26"/>
        </w:numPr>
        <w:spacing w:before="40" w:after="80"/>
        <w:jc w:val="left"/>
      </w:pPr>
      <w:r w:rsidRPr="00CA076C">
        <w:t>Verwendung,</w:t>
      </w:r>
    </w:p>
    <w:p w14:paraId="29E2FEEB" w14:textId="77777777" w:rsidR="0073395C" w:rsidRPr="00CA076C" w:rsidRDefault="0073395C" w:rsidP="0073395C">
      <w:pPr>
        <w:pStyle w:val="Listenabsatz"/>
        <w:numPr>
          <w:ilvl w:val="0"/>
          <w:numId w:val="26"/>
        </w:numPr>
        <w:spacing w:before="40" w:after="80"/>
        <w:jc w:val="left"/>
      </w:pPr>
      <w:r w:rsidRPr="00CA076C">
        <w:t>Offenlegung durch Übermittlung,</w:t>
      </w:r>
    </w:p>
    <w:p w14:paraId="045A4096" w14:textId="77777777" w:rsidR="0073395C" w:rsidRPr="00CA076C" w:rsidRDefault="0073395C" w:rsidP="0073395C">
      <w:pPr>
        <w:pStyle w:val="Listenabsatz"/>
        <w:numPr>
          <w:ilvl w:val="0"/>
          <w:numId w:val="26"/>
        </w:numPr>
        <w:spacing w:before="40" w:after="80"/>
        <w:jc w:val="left"/>
      </w:pPr>
      <w:r w:rsidRPr="00CA076C">
        <w:t>Verbreitung oder eine andere Form der Bereitstellung,</w:t>
      </w:r>
    </w:p>
    <w:p w14:paraId="156C6B59" w14:textId="77777777" w:rsidR="0073395C" w:rsidRPr="00CA076C" w:rsidRDefault="0073395C" w:rsidP="0073395C">
      <w:pPr>
        <w:pStyle w:val="Listenabsatz"/>
        <w:numPr>
          <w:ilvl w:val="0"/>
          <w:numId w:val="26"/>
        </w:numPr>
        <w:spacing w:before="40" w:after="80"/>
        <w:jc w:val="left"/>
      </w:pPr>
      <w:r w:rsidRPr="00CA076C">
        <w:t>Abgleich oder die Verknüpfung,</w:t>
      </w:r>
    </w:p>
    <w:p w14:paraId="7B5EF94A" w14:textId="77777777" w:rsidR="0073395C" w:rsidRPr="00CA076C" w:rsidRDefault="0073395C" w:rsidP="0073395C">
      <w:pPr>
        <w:pStyle w:val="Listenabsatz"/>
        <w:numPr>
          <w:ilvl w:val="0"/>
          <w:numId w:val="26"/>
        </w:numPr>
        <w:spacing w:before="40" w:after="80"/>
        <w:jc w:val="left"/>
      </w:pPr>
      <w:r w:rsidRPr="00CA076C">
        <w:t>Einschränkung,</w:t>
      </w:r>
    </w:p>
    <w:p w14:paraId="058E826C" w14:textId="77777777" w:rsidR="0073395C" w:rsidRPr="00CA076C" w:rsidRDefault="0073395C" w:rsidP="0073395C">
      <w:pPr>
        <w:pStyle w:val="Listenabsatz"/>
        <w:numPr>
          <w:ilvl w:val="0"/>
          <w:numId w:val="26"/>
        </w:numPr>
        <w:spacing w:before="40" w:after="80"/>
        <w:jc w:val="left"/>
      </w:pPr>
      <w:r w:rsidRPr="00CA076C">
        <w:t>Löschen oder Vernichtung.</w:t>
      </w:r>
    </w:p>
    <w:p w14:paraId="472E2A7F" w14:textId="77777777" w:rsidR="00F0719F" w:rsidRPr="00CA076C" w:rsidRDefault="00F0719F" w:rsidP="00F0719F">
      <w:pPr>
        <w:pStyle w:val="berschrift3"/>
      </w:pPr>
      <w:bookmarkStart w:id="87" w:name="_Toc503456498"/>
      <w:r w:rsidRPr="00CA076C">
        <w:t>Art der Verarbeitung</w:t>
      </w:r>
      <w:bookmarkEnd w:id="87"/>
    </w:p>
    <w:p w14:paraId="51212BFE" w14:textId="77777777" w:rsidR="00F0719F" w:rsidRPr="00CA076C" w:rsidRDefault="00F0719F" w:rsidP="00F0719F">
      <w:pPr>
        <w:spacing w:before="40" w:after="80"/>
        <w:jc w:val="left"/>
      </w:pPr>
      <w:r w:rsidRPr="00CA076C">
        <w:t>Unter der Art der Daten sind die einzelnen Datenkategorien zu verstehen</w:t>
      </w:r>
      <w:r w:rsidRPr="00CA076C">
        <w:rPr>
          <w:rStyle w:val="Funotenzeichen"/>
        </w:rPr>
        <w:footnoteReference w:id="10"/>
      </w:r>
      <w:r w:rsidRPr="00CA076C">
        <w:t>. Grundlegend ist hierbei zwischen der Verarbeitung personenbezogener Daten entsprechend Art. 6 DS-GVO und der Verarbeitung besonderer Kategorien gemäß Art. 9 Abs. 1 DS-GVO zu unterscheiden. Der Verantwortliche hat zu prüfen, welcher Datenkategorien die zu verarbeitenden Daten zuzuordnen sind, da sich hieraus auch unterschiedliche Bewertungen hinsichtlich des Risikos der Verarbeitung ergeben können.</w:t>
      </w:r>
    </w:p>
    <w:p w14:paraId="00A191A9" w14:textId="77777777" w:rsidR="00FE60B2" w:rsidRPr="00CA076C" w:rsidRDefault="00FE60B2" w:rsidP="00F0719F">
      <w:pPr>
        <w:spacing w:before="40" w:after="80"/>
        <w:jc w:val="left"/>
      </w:pPr>
      <w:r w:rsidRPr="00CA076C">
        <w:t>Beispiele für die Darstellung der Datenarten sind insbesondere</w:t>
      </w:r>
    </w:p>
    <w:p w14:paraId="515DA077" w14:textId="77777777" w:rsidR="00FE60B2" w:rsidRPr="00CA076C" w:rsidRDefault="00FE60B2" w:rsidP="00FE60B2">
      <w:pPr>
        <w:pStyle w:val="Listenabsatz"/>
        <w:numPr>
          <w:ilvl w:val="0"/>
          <w:numId w:val="32"/>
        </w:numPr>
        <w:spacing w:before="40" w:after="80"/>
        <w:jc w:val="left"/>
      </w:pPr>
      <w:r w:rsidRPr="00CA076C">
        <w:t>Identifizierende Daten</w:t>
      </w:r>
    </w:p>
    <w:p w14:paraId="0FE1C52F" w14:textId="77777777" w:rsidR="00FE60B2" w:rsidRPr="00CA076C" w:rsidRDefault="00FE60B2" w:rsidP="00FE60B2">
      <w:pPr>
        <w:pStyle w:val="Listenabsatz"/>
        <w:numPr>
          <w:ilvl w:val="1"/>
          <w:numId w:val="32"/>
        </w:numPr>
        <w:spacing w:before="40" w:after="80"/>
        <w:jc w:val="left"/>
      </w:pPr>
      <w:r w:rsidRPr="00CA076C">
        <w:t>Sozialversicherungsnummer</w:t>
      </w:r>
    </w:p>
    <w:p w14:paraId="635653BE" w14:textId="77777777" w:rsidR="00FE60B2" w:rsidRPr="00CA076C" w:rsidRDefault="00FE60B2" w:rsidP="00FE60B2">
      <w:pPr>
        <w:pStyle w:val="Listenabsatz"/>
        <w:numPr>
          <w:ilvl w:val="1"/>
          <w:numId w:val="32"/>
        </w:numPr>
        <w:spacing w:before="40" w:after="80"/>
        <w:jc w:val="left"/>
      </w:pPr>
      <w:r w:rsidRPr="00CA076C">
        <w:t>Personalausweisnummer</w:t>
      </w:r>
    </w:p>
    <w:p w14:paraId="01D79EA8" w14:textId="77777777" w:rsidR="00FE60B2" w:rsidRPr="00CA076C" w:rsidRDefault="00FE60B2" w:rsidP="00FE60B2">
      <w:pPr>
        <w:pStyle w:val="Listenabsatz"/>
        <w:numPr>
          <w:ilvl w:val="1"/>
          <w:numId w:val="32"/>
        </w:numPr>
        <w:spacing w:before="40" w:after="80"/>
        <w:jc w:val="left"/>
      </w:pPr>
      <w:r w:rsidRPr="00CA076C">
        <w:t>Reisepassnummer</w:t>
      </w:r>
    </w:p>
    <w:p w14:paraId="47EE4575" w14:textId="77777777" w:rsidR="00FE60B2" w:rsidRPr="00CA076C" w:rsidRDefault="00FE60B2" w:rsidP="00FE60B2">
      <w:pPr>
        <w:pStyle w:val="Listenabsatz"/>
        <w:numPr>
          <w:ilvl w:val="1"/>
          <w:numId w:val="32"/>
        </w:numPr>
        <w:spacing w:before="40" w:after="80"/>
        <w:jc w:val="left"/>
      </w:pPr>
      <w:r w:rsidRPr="00CA076C">
        <w:t>Führerschein-ID</w:t>
      </w:r>
    </w:p>
    <w:p w14:paraId="1AEB7CB7" w14:textId="77777777" w:rsidR="00FE60B2" w:rsidRPr="00CA076C" w:rsidRDefault="00FE60B2" w:rsidP="00FE60B2">
      <w:pPr>
        <w:pStyle w:val="Listenabsatz"/>
        <w:numPr>
          <w:ilvl w:val="1"/>
          <w:numId w:val="32"/>
        </w:numPr>
        <w:spacing w:before="40" w:after="80"/>
        <w:jc w:val="left"/>
      </w:pPr>
      <w:r w:rsidRPr="00CA076C">
        <w:t>Kreditkartennummer</w:t>
      </w:r>
    </w:p>
    <w:p w14:paraId="571C2F7A" w14:textId="77777777" w:rsidR="00FE60B2" w:rsidRPr="00CA076C" w:rsidRDefault="00FE60B2" w:rsidP="00FE60B2">
      <w:pPr>
        <w:pStyle w:val="Listenabsatz"/>
        <w:numPr>
          <w:ilvl w:val="1"/>
          <w:numId w:val="32"/>
        </w:numPr>
        <w:spacing w:before="40" w:after="80"/>
        <w:jc w:val="left"/>
      </w:pPr>
      <w:r w:rsidRPr="00CA076C">
        <w:t>Krankenversicherungsnummer</w:t>
      </w:r>
    </w:p>
    <w:p w14:paraId="6F564198" w14:textId="785502F0" w:rsidR="00FE60B2" w:rsidRPr="00CA076C" w:rsidRDefault="00FE60B2" w:rsidP="00FE60B2">
      <w:pPr>
        <w:pStyle w:val="Listenabsatz"/>
        <w:numPr>
          <w:ilvl w:val="1"/>
          <w:numId w:val="32"/>
        </w:numPr>
        <w:spacing w:before="40" w:after="80"/>
        <w:jc w:val="left"/>
      </w:pPr>
      <w:r w:rsidRPr="00CA076C">
        <w:t>Patient-ID aus Informationssystem (b</w:t>
      </w:r>
      <w:r w:rsidR="00C5624F">
        <w:t>en</w:t>
      </w:r>
      <w:r w:rsidRPr="00CA076C">
        <w:t>ennen welches)</w:t>
      </w:r>
    </w:p>
    <w:p w14:paraId="5B1F6219" w14:textId="77777777" w:rsidR="00FE60B2" w:rsidRPr="00CA076C" w:rsidRDefault="00FE60B2" w:rsidP="00FE60B2">
      <w:pPr>
        <w:pStyle w:val="Listenabsatz"/>
        <w:numPr>
          <w:ilvl w:val="1"/>
          <w:numId w:val="32"/>
        </w:numPr>
        <w:spacing w:before="40" w:after="80"/>
        <w:jc w:val="left"/>
      </w:pPr>
      <w:r w:rsidRPr="00CA076C">
        <w:t>Andere (spezifizieren)</w:t>
      </w:r>
    </w:p>
    <w:p w14:paraId="5E0338EA" w14:textId="77777777" w:rsidR="00FE60B2" w:rsidRPr="00CA076C" w:rsidRDefault="00FE60B2" w:rsidP="00FE60B2">
      <w:pPr>
        <w:pStyle w:val="Listenabsatz"/>
        <w:numPr>
          <w:ilvl w:val="0"/>
          <w:numId w:val="32"/>
        </w:numPr>
        <w:spacing w:before="40" w:after="80"/>
        <w:jc w:val="left"/>
      </w:pPr>
      <w:r w:rsidRPr="00CA076C">
        <w:t>Stammdaten</w:t>
      </w:r>
    </w:p>
    <w:p w14:paraId="3CAB4F10" w14:textId="77777777" w:rsidR="00FE60B2" w:rsidRPr="00CA076C" w:rsidRDefault="00FE60B2" w:rsidP="00FE60B2">
      <w:pPr>
        <w:pStyle w:val="Listenabsatz"/>
        <w:numPr>
          <w:ilvl w:val="1"/>
          <w:numId w:val="32"/>
        </w:numPr>
        <w:spacing w:before="40" w:after="80"/>
        <w:jc w:val="left"/>
      </w:pPr>
      <w:r w:rsidRPr="00CA076C">
        <w:t>Name/Vorname</w:t>
      </w:r>
    </w:p>
    <w:p w14:paraId="1304DB6D" w14:textId="77777777" w:rsidR="00FE60B2" w:rsidRPr="00CA076C" w:rsidRDefault="00FE60B2" w:rsidP="00FE60B2">
      <w:pPr>
        <w:pStyle w:val="Listenabsatz"/>
        <w:numPr>
          <w:ilvl w:val="1"/>
          <w:numId w:val="32"/>
        </w:numPr>
        <w:spacing w:before="40" w:after="80"/>
        <w:jc w:val="left"/>
      </w:pPr>
      <w:r w:rsidRPr="00CA076C">
        <w:t>Geburtsname</w:t>
      </w:r>
    </w:p>
    <w:p w14:paraId="3C62AA6E" w14:textId="77777777" w:rsidR="00FE60B2" w:rsidRPr="00CA076C" w:rsidRDefault="00FE60B2" w:rsidP="00FE60B2">
      <w:pPr>
        <w:pStyle w:val="Listenabsatz"/>
        <w:numPr>
          <w:ilvl w:val="1"/>
          <w:numId w:val="32"/>
        </w:numPr>
        <w:spacing w:before="40" w:after="80"/>
        <w:jc w:val="left"/>
      </w:pPr>
      <w:r w:rsidRPr="00CA076C">
        <w:t>Geburtsdatum</w:t>
      </w:r>
    </w:p>
    <w:p w14:paraId="303122E4" w14:textId="77777777" w:rsidR="00FE60B2" w:rsidRPr="00CA076C" w:rsidRDefault="00FE60B2" w:rsidP="00FE60B2">
      <w:pPr>
        <w:pStyle w:val="Listenabsatz"/>
        <w:numPr>
          <w:ilvl w:val="1"/>
          <w:numId w:val="32"/>
        </w:numPr>
        <w:spacing w:before="40" w:after="80"/>
        <w:jc w:val="left"/>
      </w:pPr>
      <w:r w:rsidRPr="00CA076C">
        <w:t>Geburtsort</w:t>
      </w:r>
    </w:p>
    <w:p w14:paraId="68145201" w14:textId="77777777" w:rsidR="00FE60B2" w:rsidRPr="00CA076C" w:rsidRDefault="00FE60B2" w:rsidP="00FE60B2">
      <w:pPr>
        <w:pStyle w:val="Listenabsatz"/>
        <w:numPr>
          <w:ilvl w:val="1"/>
          <w:numId w:val="32"/>
        </w:numPr>
        <w:spacing w:before="40" w:after="80"/>
        <w:jc w:val="left"/>
      </w:pPr>
      <w:r w:rsidRPr="00CA076C">
        <w:t>Geschlecht</w:t>
      </w:r>
    </w:p>
    <w:p w14:paraId="6E9ACDA6" w14:textId="77777777" w:rsidR="00FE60B2" w:rsidRPr="00CA076C" w:rsidRDefault="00FE60B2" w:rsidP="00FE60B2">
      <w:pPr>
        <w:pStyle w:val="Listenabsatz"/>
        <w:numPr>
          <w:ilvl w:val="1"/>
          <w:numId w:val="32"/>
        </w:numPr>
        <w:spacing w:before="40" w:after="80"/>
        <w:jc w:val="left"/>
      </w:pPr>
      <w:r w:rsidRPr="00CA076C">
        <w:lastRenderedPageBreak/>
        <w:t>Alter</w:t>
      </w:r>
    </w:p>
    <w:p w14:paraId="43D0389D" w14:textId="77777777" w:rsidR="00FE60B2" w:rsidRPr="00CA076C" w:rsidRDefault="00FE60B2" w:rsidP="00FE60B2">
      <w:pPr>
        <w:pStyle w:val="Listenabsatz"/>
        <w:numPr>
          <w:ilvl w:val="1"/>
          <w:numId w:val="32"/>
        </w:numPr>
        <w:spacing w:before="40" w:after="80"/>
        <w:jc w:val="left"/>
      </w:pPr>
      <w:r w:rsidRPr="00CA076C">
        <w:t>Religionszugehörigkeit</w:t>
      </w:r>
    </w:p>
    <w:p w14:paraId="2618BAAD" w14:textId="77777777" w:rsidR="00FE60B2" w:rsidRPr="00CA076C" w:rsidRDefault="00FE60B2" w:rsidP="00FE60B2">
      <w:pPr>
        <w:pStyle w:val="Listenabsatz"/>
        <w:numPr>
          <w:ilvl w:val="1"/>
          <w:numId w:val="32"/>
        </w:numPr>
        <w:spacing w:before="40" w:after="80"/>
        <w:jc w:val="left"/>
      </w:pPr>
      <w:r w:rsidRPr="00CA076C">
        <w:t>Anschrift</w:t>
      </w:r>
    </w:p>
    <w:p w14:paraId="1DBE37F2" w14:textId="77777777" w:rsidR="00FE60B2" w:rsidRPr="00CA076C" w:rsidRDefault="00FE60B2" w:rsidP="00FE60B2">
      <w:pPr>
        <w:pStyle w:val="Listenabsatz"/>
        <w:numPr>
          <w:ilvl w:val="1"/>
          <w:numId w:val="32"/>
        </w:numPr>
        <w:spacing w:before="40" w:after="80"/>
        <w:jc w:val="left"/>
      </w:pPr>
      <w:r w:rsidRPr="00CA076C">
        <w:t>Kontaktdaten (Telefon, Fax, E-Mail, …)</w:t>
      </w:r>
    </w:p>
    <w:p w14:paraId="25750220" w14:textId="77777777" w:rsidR="00FE60B2" w:rsidRPr="00CA076C" w:rsidRDefault="00FE60B2" w:rsidP="00FE60B2">
      <w:pPr>
        <w:pStyle w:val="Listenabsatz"/>
        <w:numPr>
          <w:ilvl w:val="1"/>
          <w:numId w:val="32"/>
        </w:numPr>
        <w:spacing w:before="40" w:after="80"/>
        <w:jc w:val="left"/>
      </w:pPr>
      <w:r w:rsidRPr="00CA076C">
        <w:t>Ethnische Zugehörigkeit</w:t>
      </w:r>
    </w:p>
    <w:p w14:paraId="14DF5CD8" w14:textId="77777777" w:rsidR="00FE60B2" w:rsidRPr="00CA076C" w:rsidRDefault="00FE60B2" w:rsidP="00FE60B2">
      <w:pPr>
        <w:pStyle w:val="Listenabsatz"/>
        <w:numPr>
          <w:ilvl w:val="1"/>
          <w:numId w:val="32"/>
        </w:numPr>
        <w:spacing w:before="40" w:after="80"/>
        <w:jc w:val="left"/>
      </w:pPr>
      <w:r w:rsidRPr="00CA076C">
        <w:t>Ausbildung</w:t>
      </w:r>
    </w:p>
    <w:p w14:paraId="57F98E6D" w14:textId="77777777" w:rsidR="00FE60B2" w:rsidRPr="00CA076C" w:rsidRDefault="00FE60B2" w:rsidP="00FE60B2">
      <w:pPr>
        <w:pStyle w:val="Listenabsatz"/>
        <w:numPr>
          <w:ilvl w:val="1"/>
          <w:numId w:val="32"/>
        </w:numPr>
        <w:spacing w:before="40" w:after="80"/>
        <w:jc w:val="left"/>
      </w:pPr>
      <w:r w:rsidRPr="00CA076C">
        <w:t>Titel</w:t>
      </w:r>
    </w:p>
    <w:p w14:paraId="1BD9E223" w14:textId="77777777" w:rsidR="00FE60B2" w:rsidRPr="00CA076C" w:rsidRDefault="00FE60B2" w:rsidP="00FE60B2">
      <w:pPr>
        <w:pStyle w:val="Listenabsatz"/>
        <w:numPr>
          <w:ilvl w:val="1"/>
          <w:numId w:val="32"/>
        </w:numPr>
        <w:spacing w:before="40" w:after="80"/>
        <w:jc w:val="left"/>
      </w:pPr>
      <w:r w:rsidRPr="00CA076C">
        <w:t>Krankenkasse</w:t>
      </w:r>
    </w:p>
    <w:p w14:paraId="10C519D5" w14:textId="77777777" w:rsidR="00FE60B2" w:rsidRPr="00CA076C" w:rsidRDefault="00FE60B2" w:rsidP="00FE60B2">
      <w:pPr>
        <w:pStyle w:val="Listenabsatz"/>
        <w:numPr>
          <w:ilvl w:val="1"/>
          <w:numId w:val="32"/>
        </w:numPr>
        <w:spacing w:before="40" w:after="80"/>
        <w:jc w:val="left"/>
      </w:pPr>
      <w:r w:rsidRPr="00CA076C">
        <w:t>Andere (spezifizieren)</w:t>
      </w:r>
    </w:p>
    <w:p w14:paraId="747CADEF" w14:textId="77777777" w:rsidR="00FE60B2" w:rsidRPr="00CA076C" w:rsidRDefault="00FE60B2" w:rsidP="00FE60B2">
      <w:pPr>
        <w:pStyle w:val="Listenabsatz"/>
        <w:numPr>
          <w:ilvl w:val="0"/>
          <w:numId w:val="32"/>
        </w:numPr>
        <w:spacing w:before="40" w:after="80"/>
        <w:jc w:val="left"/>
      </w:pPr>
      <w:r w:rsidRPr="00CA076C">
        <w:t>Beschäftigtendaten</w:t>
      </w:r>
    </w:p>
    <w:p w14:paraId="6E299472" w14:textId="77777777" w:rsidR="00FE60B2" w:rsidRPr="00CA076C" w:rsidRDefault="00FE60B2" w:rsidP="00FE60B2">
      <w:pPr>
        <w:pStyle w:val="Listenabsatz"/>
        <w:numPr>
          <w:ilvl w:val="1"/>
          <w:numId w:val="32"/>
        </w:numPr>
        <w:spacing w:before="40" w:after="80"/>
        <w:jc w:val="left"/>
      </w:pPr>
      <w:r w:rsidRPr="00CA076C">
        <w:t>Gelernte(r) Beruf(e)</w:t>
      </w:r>
    </w:p>
    <w:p w14:paraId="4C30C589" w14:textId="77777777" w:rsidR="00FE60B2" w:rsidRPr="00CA076C" w:rsidRDefault="00FE60B2" w:rsidP="00FE60B2">
      <w:pPr>
        <w:pStyle w:val="Listenabsatz"/>
        <w:numPr>
          <w:ilvl w:val="1"/>
          <w:numId w:val="32"/>
        </w:numPr>
        <w:spacing w:before="40" w:after="80"/>
        <w:jc w:val="left"/>
      </w:pPr>
      <w:r w:rsidRPr="00CA076C">
        <w:t>Ausgeübter Beruf</w:t>
      </w:r>
    </w:p>
    <w:p w14:paraId="0616F6CF" w14:textId="77777777" w:rsidR="00FE60B2" w:rsidRPr="00CA076C" w:rsidRDefault="00FE60B2" w:rsidP="00FE60B2">
      <w:pPr>
        <w:pStyle w:val="Listenabsatz"/>
        <w:numPr>
          <w:ilvl w:val="1"/>
          <w:numId w:val="32"/>
        </w:numPr>
        <w:spacing w:before="40" w:after="80"/>
        <w:jc w:val="left"/>
      </w:pPr>
      <w:r w:rsidRPr="00CA076C">
        <w:t>Job-Beschreibung</w:t>
      </w:r>
    </w:p>
    <w:p w14:paraId="3A07151A" w14:textId="77777777" w:rsidR="00FE60B2" w:rsidRPr="00CA076C" w:rsidRDefault="00FE60B2" w:rsidP="00FE60B2">
      <w:pPr>
        <w:pStyle w:val="Listenabsatz"/>
        <w:numPr>
          <w:ilvl w:val="1"/>
          <w:numId w:val="32"/>
        </w:numPr>
        <w:spacing w:before="40" w:after="80"/>
        <w:jc w:val="left"/>
      </w:pPr>
      <w:r w:rsidRPr="00CA076C">
        <w:t>Dienstliche Anschrift</w:t>
      </w:r>
    </w:p>
    <w:p w14:paraId="3CC15F3C" w14:textId="77777777" w:rsidR="00FE60B2" w:rsidRPr="00CA076C" w:rsidRDefault="00FE60B2" w:rsidP="00FE60B2">
      <w:pPr>
        <w:pStyle w:val="Listenabsatz"/>
        <w:numPr>
          <w:ilvl w:val="1"/>
          <w:numId w:val="32"/>
        </w:numPr>
        <w:spacing w:before="40" w:after="80"/>
        <w:jc w:val="left"/>
      </w:pPr>
      <w:r w:rsidRPr="00CA076C">
        <w:t>Dienstliche Kontaktdaten (Telefon, Fax, E-Mail, …)</w:t>
      </w:r>
    </w:p>
    <w:p w14:paraId="616F6400" w14:textId="77777777" w:rsidR="00FE60B2" w:rsidRPr="00CA076C" w:rsidRDefault="00FE60B2" w:rsidP="00FE60B2">
      <w:pPr>
        <w:pStyle w:val="Listenabsatz"/>
        <w:numPr>
          <w:ilvl w:val="1"/>
          <w:numId w:val="32"/>
        </w:numPr>
        <w:spacing w:before="40" w:after="80"/>
        <w:jc w:val="left"/>
      </w:pPr>
      <w:r w:rsidRPr="00CA076C">
        <w:t>Gehalt/Vergütung</w:t>
      </w:r>
    </w:p>
    <w:p w14:paraId="095C40BA" w14:textId="77777777" w:rsidR="00FE60B2" w:rsidRPr="00CA076C" w:rsidRDefault="00FE60B2" w:rsidP="00FE60B2">
      <w:pPr>
        <w:pStyle w:val="Listenabsatz"/>
        <w:numPr>
          <w:ilvl w:val="1"/>
          <w:numId w:val="32"/>
        </w:numPr>
        <w:spacing w:before="40" w:after="80"/>
        <w:jc w:val="left"/>
      </w:pPr>
      <w:r w:rsidRPr="00CA076C">
        <w:t>Bisheriges Arbeitsleben (bisherige Arbeit- bzw. Auftraggeber, …)</w:t>
      </w:r>
    </w:p>
    <w:p w14:paraId="332BC230" w14:textId="77777777" w:rsidR="00FE60B2" w:rsidRPr="00CA076C" w:rsidRDefault="00FE60B2" w:rsidP="00FE60B2">
      <w:pPr>
        <w:pStyle w:val="Listenabsatz"/>
        <w:numPr>
          <w:ilvl w:val="1"/>
          <w:numId w:val="32"/>
        </w:numPr>
        <w:spacing w:before="40" w:after="80"/>
        <w:jc w:val="left"/>
      </w:pPr>
      <w:r w:rsidRPr="00CA076C">
        <w:t>Zugehörigkeit zu Berufsverbänden oder anderen Organisationen</w:t>
      </w:r>
    </w:p>
    <w:p w14:paraId="30C58221" w14:textId="77777777" w:rsidR="00FE60B2" w:rsidRPr="00CA076C" w:rsidRDefault="00FE60B2" w:rsidP="00FE60B2">
      <w:pPr>
        <w:pStyle w:val="Listenabsatz"/>
        <w:numPr>
          <w:ilvl w:val="1"/>
          <w:numId w:val="32"/>
        </w:numPr>
        <w:spacing w:before="40" w:after="80"/>
        <w:jc w:val="left"/>
      </w:pPr>
      <w:r w:rsidRPr="00CA076C">
        <w:t>Andere (spezifizieren)</w:t>
      </w:r>
    </w:p>
    <w:p w14:paraId="241E0BE6" w14:textId="77777777" w:rsidR="00FE60B2" w:rsidRPr="00CA076C" w:rsidRDefault="00FE60B2" w:rsidP="00FE60B2">
      <w:pPr>
        <w:pStyle w:val="Listenabsatz"/>
        <w:numPr>
          <w:ilvl w:val="0"/>
          <w:numId w:val="32"/>
        </w:numPr>
        <w:spacing w:before="40" w:after="80"/>
        <w:jc w:val="left"/>
      </w:pPr>
      <w:r w:rsidRPr="00CA076C">
        <w:t>Biometrische Daten</w:t>
      </w:r>
    </w:p>
    <w:p w14:paraId="2FBB3D37" w14:textId="77777777" w:rsidR="00FE60B2" w:rsidRPr="00CA076C" w:rsidRDefault="00FE60B2" w:rsidP="00FE60B2">
      <w:pPr>
        <w:pStyle w:val="Listenabsatz"/>
        <w:numPr>
          <w:ilvl w:val="1"/>
          <w:numId w:val="32"/>
        </w:numPr>
        <w:spacing w:before="40" w:after="80"/>
        <w:jc w:val="left"/>
      </w:pPr>
      <w:r w:rsidRPr="00CA076C">
        <w:t>Fingerprint</w:t>
      </w:r>
    </w:p>
    <w:p w14:paraId="3D282579" w14:textId="77777777" w:rsidR="00FE60B2" w:rsidRPr="00CA076C" w:rsidRDefault="00FE60B2" w:rsidP="00FE60B2">
      <w:pPr>
        <w:pStyle w:val="Listenabsatz"/>
        <w:numPr>
          <w:ilvl w:val="1"/>
          <w:numId w:val="32"/>
        </w:numPr>
        <w:spacing w:before="40" w:after="80"/>
        <w:jc w:val="left"/>
      </w:pPr>
      <w:r w:rsidRPr="00CA076C">
        <w:t>Handflächen-Scan</w:t>
      </w:r>
    </w:p>
    <w:p w14:paraId="4832592A" w14:textId="77777777" w:rsidR="00FE60B2" w:rsidRPr="00CA076C" w:rsidRDefault="00FE60B2" w:rsidP="00FE60B2">
      <w:pPr>
        <w:pStyle w:val="Listenabsatz"/>
        <w:numPr>
          <w:ilvl w:val="1"/>
          <w:numId w:val="32"/>
        </w:numPr>
        <w:spacing w:before="40" w:after="80"/>
        <w:jc w:val="left"/>
      </w:pPr>
      <w:r w:rsidRPr="00CA076C">
        <w:t>Stimmerkennung</w:t>
      </w:r>
    </w:p>
    <w:p w14:paraId="4E9381AA" w14:textId="77777777" w:rsidR="00FE60B2" w:rsidRPr="00CA076C" w:rsidRDefault="00FE60B2" w:rsidP="00FE60B2">
      <w:pPr>
        <w:pStyle w:val="Listenabsatz"/>
        <w:numPr>
          <w:ilvl w:val="1"/>
          <w:numId w:val="32"/>
        </w:numPr>
        <w:spacing w:before="40" w:after="80"/>
        <w:jc w:val="left"/>
      </w:pPr>
      <w:r w:rsidRPr="00CA076C">
        <w:t>Fotos (Gesicht)</w:t>
      </w:r>
    </w:p>
    <w:p w14:paraId="0BE235B2" w14:textId="77777777" w:rsidR="00FE60B2" w:rsidRPr="00CA076C" w:rsidRDefault="00FE60B2" w:rsidP="00FE60B2">
      <w:pPr>
        <w:pStyle w:val="Listenabsatz"/>
        <w:numPr>
          <w:ilvl w:val="1"/>
          <w:numId w:val="32"/>
        </w:numPr>
        <w:spacing w:before="40" w:after="80"/>
        <w:jc w:val="left"/>
      </w:pPr>
      <w:r w:rsidRPr="00CA076C">
        <w:t>Besondere Kennzeichen (Narben, Tätowierungen, …)</w:t>
      </w:r>
    </w:p>
    <w:p w14:paraId="0032A677" w14:textId="77777777" w:rsidR="00FE60B2" w:rsidRPr="00CA076C" w:rsidRDefault="00FE60B2" w:rsidP="00FE60B2">
      <w:pPr>
        <w:pStyle w:val="Listenabsatz"/>
        <w:numPr>
          <w:ilvl w:val="1"/>
          <w:numId w:val="32"/>
        </w:numPr>
        <w:spacing w:before="40" w:after="80"/>
        <w:jc w:val="left"/>
      </w:pPr>
      <w:r w:rsidRPr="00CA076C">
        <w:t>Gefäß-Scan</w:t>
      </w:r>
    </w:p>
    <w:p w14:paraId="3228CA92" w14:textId="77777777" w:rsidR="00FE60B2" w:rsidRPr="00CA076C" w:rsidRDefault="00FE60B2" w:rsidP="00FE60B2">
      <w:pPr>
        <w:pStyle w:val="Listenabsatz"/>
        <w:numPr>
          <w:ilvl w:val="1"/>
          <w:numId w:val="32"/>
        </w:numPr>
        <w:spacing w:before="40" w:after="80"/>
        <w:jc w:val="left"/>
      </w:pPr>
      <w:r w:rsidRPr="00CA076C">
        <w:t>Retina/Iris-Scan</w:t>
      </w:r>
    </w:p>
    <w:p w14:paraId="61F00460" w14:textId="77777777" w:rsidR="00FE60B2" w:rsidRPr="00CA076C" w:rsidRDefault="00FE60B2" w:rsidP="00FE60B2">
      <w:pPr>
        <w:pStyle w:val="Listenabsatz"/>
        <w:numPr>
          <w:ilvl w:val="1"/>
          <w:numId w:val="32"/>
        </w:numPr>
        <w:spacing w:before="40" w:after="80"/>
        <w:jc w:val="left"/>
      </w:pPr>
      <w:r w:rsidRPr="00CA076C">
        <w:t>DNA-Profil</w:t>
      </w:r>
    </w:p>
    <w:p w14:paraId="4FE4CE16" w14:textId="77777777" w:rsidR="00FE60B2" w:rsidRPr="00CA076C" w:rsidRDefault="00FE60B2" w:rsidP="00FE60B2">
      <w:pPr>
        <w:pStyle w:val="Listenabsatz"/>
        <w:numPr>
          <w:ilvl w:val="1"/>
          <w:numId w:val="32"/>
        </w:numPr>
        <w:spacing w:before="40" w:after="80"/>
        <w:jc w:val="left"/>
      </w:pPr>
      <w:r w:rsidRPr="00CA076C">
        <w:t>Andere (spezifizieren)</w:t>
      </w:r>
    </w:p>
    <w:p w14:paraId="17C2FB76" w14:textId="77777777" w:rsidR="00FE60B2" w:rsidRPr="00CA076C" w:rsidRDefault="00FE60B2" w:rsidP="00FE60B2">
      <w:pPr>
        <w:pStyle w:val="Listenabsatz"/>
        <w:numPr>
          <w:ilvl w:val="0"/>
          <w:numId w:val="32"/>
        </w:numPr>
        <w:spacing w:before="40" w:after="80"/>
        <w:jc w:val="left"/>
      </w:pPr>
      <w:r w:rsidRPr="00CA076C">
        <w:t>Administrative Daten</w:t>
      </w:r>
    </w:p>
    <w:p w14:paraId="2E358CB3" w14:textId="77777777" w:rsidR="00FE60B2" w:rsidRPr="00CA076C" w:rsidRDefault="00FE60B2" w:rsidP="00FE60B2">
      <w:pPr>
        <w:pStyle w:val="Listenabsatz"/>
        <w:numPr>
          <w:ilvl w:val="1"/>
          <w:numId w:val="32"/>
        </w:numPr>
        <w:spacing w:before="40" w:after="80"/>
        <w:jc w:val="left"/>
      </w:pPr>
      <w:r w:rsidRPr="00CA076C">
        <w:t>User-ID</w:t>
      </w:r>
    </w:p>
    <w:p w14:paraId="576376A8" w14:textId="77777777" w:rsidR="00FE60B2" w:rsidRPr="00CA076C" w:rsidRDefault="00FE60B2" w:rsidP="00FE60B2">
      <w:pPr>
        <w:pStyle w:val="Listenabsatz"/>
        <w:numPr>
          <w:ilvl w:val="1"/>
          <w:numId w:val="32"/>
        </w:numPr>
        <w:spacing w:before="40" w:after="80"/>
        <w:jc w:val="left"/>
      </w:pPr>
      <w:r w:rsidRPr="00CA076C">
        <w:t>IP-Adresse</w:t>
      </w:r>
    </w:p>
    <w:p w14:paraId="1DCBFDC0" w14:textId="77777777" w:rsidR="00FE60B2" w:rsidRPr="00CA076C" w:rsidRDefault="00FE60B2" w:rsidP="00FE60B2">
      <w:pPr>
        <w:pStyle w:val="Listenabsatz"/>
        <w:numPr>
          <w:ilvl w:val="1"/>
          <w:numId w:val="32"/>
        </w:numPr>
        <w:spacing w:before="40" w:after="80"/>
        <w:jc w:val="left"/>
      </w:pPr>
      <w:r w:rsidRPr="00CA076C">
        <w:t>Datum/Uhrzeit von Zugriffen (An-/abmelden vom System, Zugriff auf bestimmte Daten)</w:t>
      </w:r>
    </w:p>
    <w:p w14:paraId="35D265C0" w14:textId="77777777" w:rsidR="00FE60B2" w:rsidRPr="00CA076C" w:rsidRDefault="00FE60B2" w:rsidP="00FE60B2">
      <w:pPr>
        <w:pStyle w:val="Listenabsatz"/>
        <w:numPr>
          <w:ilvl w:val="0"/>
          <w:numId w:val="32"/>
        </w:numPr>
        <w:spacing w:before="40" w:after="80"/>
        <w:jc w:val="left"/>
      </w:pPr>
      <w:r w:rsidRPr="00CA076C">
        <w:t>Gesundheitsdaten</w:t>
      </w:r>
    </w:p>
    <w:p w14:paraId="639636A9" w14:textId="77777777" w:rsidR="00FE60B2" w:rsidRPr="00CA076C" w:rsidRDefault="00FE60B2" w:rsidP="00FE60B2">
      <w:pPr>
        <w:pStyle w:val="Listenabsatz"/>
        <w:numPr>
          <w:ilvl w:val="1"/>
          <w:numId w:val="32"/>
        </w:numPr>
        <w:spacing w:before="40" w:after="80"/>
        <w:jc w:val="left"/>
      </w:pPr>
      <w:r w:rsidRPr="00CA076C">
        <w:t>Physiologische Auffälligkeiten</w:t>
      </w:r>
    </w:p>
    <w:p w14:paraId="14BBEF47" w14:textId="77777777" w:rsidR="00FE60B2" w:rsidRPr="00CA076C" w:rsidRDefault="00FE60B2" w:rsidP="00FE60B2">
      <w:pPr>
        <w:pStyle w:val="Listenabsatz"/>
        <w:numPr>
          <w:ilvl w:val="1"/>
          <w:numId w:val="32"/>
        </w:numPr>
        <w:spacing w:before="40" w:after="80"/>
        <w:jc w:val="left"/>
      </w:pPr>
      <w:r w:rsidRPr="00CA076C">
        <w:t>Allgemeine Gesundheitsdaten (z. B. von Fitness-</w:t>
      </w:r>
      <w:proofErr w:type="spellStart"/>
      <w:r w:rsidRPr="00CA076C">
        <w:t>Trackern</w:t>
      </w:r>
      <w:proofErr w:type="spellEnd"/>
      <w:r w:rsidRPr="00CA076C">
        <w:t>)</w:t>
      </w:r>
    </w:p>
    <w:p w14:paraId="08D73044" w14:textId="77777777" w:rsidR="00FE60B2" w:rsidRPr="00CA076C" w:rsidRDefault="00FE60B2" w:rsidP="00F0719F">
      <w:pPr>
        <w:pStyle w:val="Listenabsatz"/>
        <w:numPr>
          <w:ilvl w:val="1"/>
          <w:numId w:val="32"/>
        </w:numPr>
        <w:spacing w:before="40" w:after="80"/>
        <w:jc w:val="left"/>
      </w:pPr>
      <w:r w:rsidRPr="00CA076C">
        <w:t>Klinische Informationen</w:t>
      </w:r>
    </w:p>
    <w:p w14:paraId="42636064" w14:textId="77777777" w:rsidR="00F0719F" w:rsidRPr="00CA076C" w:rsidRDefault="00F0719F" w:rsidP="00F0719F">
      <w:pPr>
        <w:pStyle w:val="berschrift3"/>
      </w:pPr>
      <w:bookmarkStart w:id="88" w:name="_Toc503456499"/>
      <w:r w:rsidRPr="00CA076C">
        <w:t>Umfang der Verarbeitung</w:t>
      </w:r>
      <w:bookmarkEnd w:id="88"/>
    </w:p>
    <w:p w14:paraId="7975C54D" w14:textId="77777777" w:rsidR="0073395C" w:rsidRPr="00CA076C" w:rsidRDefault="0073395C" w:rsidP="0073395C">
      <w:r w:rsidRPr="00CA076C">
        <w:t>Aus ErwGr. 75 bzw. 91 wird ersichtlich, dass im Bereich des „Umfangs der Datenverarbeitung“ zwei Einflussgrößen zu berücksichtigen sind: Zum einen die Anzahl der Personen, zum anderen die Menge der verarbeiteten Daten.</w:t>
      </w:r>
      <w:r w:rsidR="00F0719F" w:rsidRPr="00CA076C">
        <w:t xml:space="preserve"> </w:t>
      </w:r>
      <w:r w:rsidRPr="00CA076C">
        <w:t xml:space="preserve">Daraus folgt zum einen, dass je mehr Daten zu einer Person vorhanden sind, desto weitreichendere Aussagen sind über eine bestimmte Person möglich, wodurch sich das Risiko für diese Person erhöht. Zum anderen folgt daraus, dass je höher die Anzahl der betroffenen Personen ist, deren Daten verarbeitet werden, desto bessere/genauere Aussagen sind möglich z. B. über etwaige Verbindungen zwischen diesen Personen. Aus diesen Verbindungen lassen sich </w:t>
      </w:r>
      <w:r w:rsidRPr="00CA076C">
        <w:lastRenderedPageBreak/>
        <w:t>wiederum weitere, möglicherweise für die Personen negative Schlüsse ziehen, sodass sich daraus wiederum höhere Risiken für die betroffenen Personen ergeben. Zugleich erhöht sich mit einem größeren Verarbeitungsumfang auch die Eintrittswahrscheinlichkeit etwaiger Risiken</w:t>
      </w:r>
      <w:r w:rsidRPr="00CA076C">
        <w:rPr>
          <w:rStyle w:val="Funotenzeichen"/>
        </w:rPr>
        <w:footnoteReference w:id="11"/>
      </w:r>
      <w:r w:rsidRPr="00CA076C">
        <w:t>.</w:t>
      </w:r>
    </w:p>
    <w:p w14:paraId="361F072C" w14:textId="77777777" w:rsidR="00F74306" w:rsidRPr="00CA076C" w:rsidRDefault="0073395C" w:rsidP="00552F0C">
      <w:r w:rsidRPr="00CA076C">
        <w:t xml:space="preserve">In der Fassung der DS-GVO vom europäischen Parlament war in dem ErwGr. 63 und 75 und auch im </w:t>
      </w:r>
      <w:r w:rsidR="00FD56B2" w:rsidRPr="00CA076C">
        <w:t>Art. </w:t>
      </w:r>
      <w:r w:rsidRPr="00CA076C">
        <w:t>32a („</w:t>
      </w:r>
      <w:proofErr w:type="spellStart"/>
      <w:r w:rsidRPr="00CA076C">
        <w:t>Risk</w:t>
      </w:r>
      <w:proofErr w:type="spellEnd"/>
      <w:r w:rsidRPr="00CA076C">
        <w:t xml:space="preserve"> </w:t>
      </w:r>
      <w:proofErr w:type="spellStart"/>
      <w:r w:rsidRPr="00CA076C">
        <w:t>analysis</w:t>
      </w:r>
      <w:proofErr w:type="spellEnd"/>
      <w:r w:rsidRPr="00CA076C">
        <w:t>“) von der Verarbeitung der Daten von 5000 betroffenen Personen innerhalb von 12 Monaten die Rede</w:t>
      </w:r>
      <w:r w:rsidRPr="00CA076C">
        <w:rPr>
          <w:rStyle w:val="Funotenzeichen"/>
        </w:rPr>
        <w:footnoteReference w:id="12"/>
      </w:r>
      <w:r w:rsidRPr="00CA076C">
        <w:t>. Auch wenn dieser Ansatz nicht in der finalen Version des DS-GVO Einzug fand, bietet dieser Wortlaut einen Hinweis, was sich der europäische Gesetzgeber unter einer großen Anzahl von b</w:t>
      </w:r>
      <w:r w:rsidR="00552F0C" w:rsidRPr="00CA076C">
        <w:t>etroffenen Personen vorstellte.</w:t>
      </w:r>
    </w:p>
    <w:p w14:paraId="5F62E18C" w14:textId="77777777" w:rsidR="00F74306" w:rsidRPr="00CA076C" w:rsidRDefault="00F74306" w:rsidP="00F74306">
      <w:pPr>
        <w:pStyle w:val="berschrift3"/>
      </w:pPr>
      <w:bookmarkStart w:id="89" w:name="_Toc503456500"/>
      <w:r w:rsidRPr="00CA076C">
        <w:t>Umstände der Verarbeitung</w:t>
      </w:r>
      <w:bookmarkEnd w:id="89"/>
    </w:p>
    <w:p w14:paraId="6F73AB65" w14:textId="77777777" w:rsidR="00F74306" w:rsidRPr="00CA076C" w:rsidRDefault="0073395C" w:rsidP="00F74306">
      <w:r w:rsidRPr="00CA076C">
        <w:t>Bei den Umständen der Verarbeitung ist zunächst einmal zu unterscheiden, wer den Nutzen der Verarbeitung hat: werden Gesundheitsdaten im Rahmen einer Heilbehandlung verwendet, dient die Verarbeitung der Daten in erster Linie dem Wohl des Patienten, in zweiter Linie der Abrechnung der erbrachten Leistung, was letztlich auch im Sinne des Patienten liegt.</w:t>
      </w:r>
    </w:p>
    <w:p w14:paraId="43834557" w14:textId="77777777" w:rsidR="009E7014" w:rsidRPr="00CA076C" w:rsidRDefault="009E7014" w:rsidP="00F74306">
      <w:r w:rsidRPr="00CA076C">
        <w:t>Werden Gesundheitsdaten für die Zwecke anderer verarbeitet, z. B. für Pharmaforschung oder für Statistiken, damit Krankenkassen ihre Beiträge anpassen können, so ist der Profiteur nicht die betroffene Person, ggf. hat die betroffene Person bei Kenntnis aller Informationen sogar ein Interesse daran, dass eine Verarbeitung nicht stattfindet, z. B., wenn dadurch ihre Krankenkassenbeiträge steigen.</w:t>
      </w:r>
    </w:p>
    <w:p w14:paraId="1E07F9FE" w14:textId="77777777" w:rsidR="00017132" w:rsidRPr="00CA076C" w:rsidRDefault="00F74306" w:rsidP="00F74306">
      <w:pPr>
        <w:pStyle w:val="berschrift3"/>
      </w:pPr>
      <w:bookmarkStart w:id="90" w:name="_Toc503456501"/>
      <w:r w:rsidRPr="00CA076C">
        <w:t>Zwecke der Verarbeitung</w:t>
      </w:r>
      <w:bookmarkEnd w:id="90"/>
    </w:p>
    <w:p w14:paraId="330E4184" w14:textId="77777777" w:rsidR="00F74306" w:rsidRPr="00CA076C" w:rsidRDefault="00F74306" w:rsidP="00F74306">
      <w:r w:rsidRPr="00CA076C">
        <w:t>Der Zweck bzw. die Zwecke der Verarbeitung personenbezogener Daten werden grundsätzlich vom Verantwortlichen festgelegt. Dabei gilt es jedoch zu beachten, dass ein Verantwortlicher nicht vollständig frei die entsprechenden Zwecke festgelegen darf. Vielmehr darf er nur solche Zwecke wählen, die Grundlage der Zulässigkeit der Verarbeitung sind</w:t>
      </w:r>
      <w:bookmarkStart w:id="91" w:name="_Ref456549190"/>
      <w:r w:rsidRPr="00CA076C">
        <w:rPr>
          <w:rStyle w:val="Funotenzeichen"/>
        </w:rPr>
        <w:footnoteReference w:id="13"/>
      </w:r>
      <w:bookmarkEnd w:id="91"/>
      <w:r w:rsidRPr="00CA076C">
        <w:t>. Daraus folgt zwangsläufig auch, dass ein unzulässiger Zweck wie beispielsweise eine unverhältnismäßige Datenverarbeitung nicht die Verarbeitungsbefugnisse des Verantwortlichen erweitern kann</w:t>
      </w:r>
      <w:r w:rsidRPr="00CA076C">
        <w:rPr>
          <w:vertAlign w:val="superscript"/>
        </w:rPr>
        <w:fldChar w:fldCharType="begin"/>
      </w:r>
      <w:r w:rsidRPr="00CA076C">
        <w:rPr>
          <w:vertAlign w:val="superscript"/>
        </w:rPr>
        <w:instrText xml:space="preserve"> NOTEREF _Ref456549190 \h  \* MERGEFORMAT </w:instrText>
      </w:r>
      <w:r w:rsidRPr="00CA076C">
        <w:rPr>
          <w:vertAlign w:val="superscript"/>
        </w:rPr>
      </w:r>
      <w:r w:rsidRPr="00CA076C">
        <w:rPr>
          <w:vertAlign w:val="superscript"/>
        </w:rPr>
        <w:fldChar w:fldCharType="separate"/>
      </w:r>
      <w:r w:rsidR="001D39C0" w:rsidRPr="00CA076C">
        <w:rPr>
          <w:vertAlign w:val="superscript"/>
        </w:rPr>
        <w:t>13</w:t>
      </w:r>
      <w:r w:rsidRPr="00CA076C">
        <w:rPr>
          <w:vertAlign w:val="superscript"/>
        </w:rPr>
        <w:fldChar w:fldCharType="end"/>
      </w:r>
      <w:r w:rsidR="0073395C" w:rsidRPr="00CA076C">
        <w:t>.</w:t>
      </w:r>
    </w:p>
    <w:p w14:paraId="44F4404A" w14:textId="77777777" w:rsidR="0073395C" w:rsidRPr="00CA076C" w:rsidRDefault="0073395C" w:rsidP="00F74306">
      <w:r w:rsidRPr="00CA076C">
        <w:t>Die Norm DIN CEN ISO/TS 14265 „Klassifikation des Zwecks zur Verarbeitung von persönlichen Gesundheitsinformationen“</w:t>
      </w:r>
      <w:r w:rsidRPr="00CA076C">
        <w:rPr>
          <w:rStyle w:val="Funotenzeichen"/>
        </w:rPr>
        <w:footnoteReference w:id="14"/>
      </w:r>
      <w:r w:rsidRPr="00CA076C">
        <w:t xml:space="preserve"> bietet einen Anhalt, wie der Zweck der Verarbeitung entsprechend dem Stand der Technik (im Sinne der Anwendung dieser Norm) klassifiziert werden kann.</w:t>
      </w:r>
    </w:p>
    <w:p w14:paraId="695340D4" w14:textId="77777777" w:rsidR="0091362F" w:rsidRPr="00CA076C" w:rsidRDefault="0091362F" w:rsidP="0091362F">
      <w:pPr>
        <w:pStyle w:val="berschrift2"/>
      </w:pPr>
      <w:bookmarkStart w:id="92" w:name="_Toc503456502"/>
      <w:r w:rsidRPr="00CA076C">
        <w:t>Eintrittswahrscheinlichkeit und Schwere des Risikos</w:t>
      </w:r>
      <w:bookmarkEnd w:id="92"/>
    </w:p>
    <w:p w14:paraId="39EAFF13" w14:textId="77777777" w:rsidR="0091362F" w:rsidRPr="00CA076C" w:rsidRDefault="0073395C" w:rsidP="0091362F">
      <w:r w:rsidRPr="00CA076C">
        <w:t xml:space="preserve">Die DS-GVO definiert nicht den Begriff „Risiko“. ErwGr. 75 führt aus, dass „aus einer Verarbeitung personenbezogener Daten“ Risiken für die Rechte und Freiheiten natürlicher Personen „mit </w:t>
      </w:r>
      <w:r w:rsidRPr="00CA076C">
        <w:lastRenderedPageBreak/>
        <w:t xml:space="preserve">unterschiedlicher Eintrittswahrscheinlichkeit und Schwere“ resultieren können, „die zu einem physischen, materiellen oder immateriellen Schaden führen“ können. </w:t>
      </w:r>
      <w:r w:rsidR="00141D6D" w:rsidRPr="00CA076C">
        <w:t>Daraus folgt, dass die Höhe des Risikos für die Rechte und Freiheiten natürlicher Personen im Sinne des Art. 35 DS-GVO somit in Abhängigkeit der beiden Größen „Eintrittswahrscheinlichkeit“ und „Schadensschwere“ darzustellen sind</w:t>
      </w:r>
      <w:r w:rsidR="00141D6D" w:rsidRPr="00CA076C">
        <w:rPr>
          <w:rStyle w:val="Funotenzeichen"/>
        </w:rPr>
        <w:footnoteReference w:id="15"/>
      </w:r>
      <w:r w:rsidR="00141D6D" w:rsidRPr="00CA076C">
        <w:t>.</w:t>
      </w:r>
    </w:p>
    <w:p w14:paraId="074851A0" w14:textId="77777777" w:rsidR="0091362F" w:rsidRPr="00CA076C" w:rsidRDefault="0091362F" w:rsidP="0091362F">
      <w:pPr>
        <w:pStyle w:val="berschrift3"/>
      </w:pPr>
      <w:bookmarkStart w:id="93" w:name="_Ref492369624"/>
      <w:bookmarkStart w:id="94" w:name="_Toc503456503"/>
      <w:r w:rsidRPr="00CA076C">
        <w:t>Identifizierung der Risiken</w:t>
      </w:r>
      <w:bookmarkEnd w:id="93"/>
      <w:bookmarkEnd w:id="94"/>
    </w:p>
    <w:p w14:paraId="7C7012CE" w14:textId="77777777" w:rsidR="0091362F" w:rsidRPr="00CA076C" w:rsidRDefault="0091362F" w:rsidP="0091362F">
      <w:r w:rsidRPr="00CA076C">
        <w:t xml:space="preserve">In der DS-GVO geht es darum, den Rechten und berechtigten Interessen der betroffenen Personen und sonstiger von der Verarbeitung betroffener Menschen Rechnung zu tragen. Entsprechend adressiert </w:t>
      </w:r>
      <w:r w:rsidR="00FD56B2" w:rsidRPr="00CA076C">
        <w:t>Art. </w:t>
      </w:r>
      <w:r w:rsidRPr="00CA076C">
        <w:t>32 DS-GVO mit seinen Anforderungen die Risiken für die betroffenen Personen, Risiken für das datenverarbeitende Unternehmen sind nur relevant, wenn diese zugleich auch Risiken für die von der Verarbeitung betroffenen Personen darstellen.</w:t>
      </w:r>
    </w:p>
    <w:p w14:paraId="728E6510" w14:textId="77777777" w:rsidR="0091362F" w:rsidRPr="00CA076C" w:rsidRDefault="0091362F" w:rsidP="00597483">
      <w:pPr>
        <w:spacing w:after="0"/>
      </w:pPr>
      <w:r w:rsidRPr="00CA076C">
        <w:t>Eine Kategorisierung der Risiken für die Rechte und berechtigten Interessen betroffener Personen bei einer Verarbeitung personenbezogener Daten können z. B. sein</w:t>
      </w:r>
      <w:r w:rsidRPr="00CA076C">
        <w:rPr>
          <w:rStyle w:val="Funotenzeichen"/>
        </w:rPr>
        <w:footnoteReference w:id="16"/>
      </w:r>
      <w:r w:rsidRPr="00CA076C">
        <w:t>:</w:t>
      </w:r>
    </w:p>
    <w:p w14:paraId="5BC81D4F" w14:textId="77777777" w:rsidR="0091362F" w:rsidRPr="00CA076C" w:rsidRDefault="0091362F" w:rsidP="0091362F">
      <w:pPr>
        <w:pStyle w:val="Listenabsatz"/>
        <w:numPr>
          <w:ilvl w:val="0"/>
          <w:numId w:val="10"/>
        </w:numPr>
      </w:pPr>
      <w:r w:rsidRPr="00CA076C">
        <w:t>Strukturelle Risiken, beispielsweise gesellschaftlich-politische Risiken (wie z. B. die Informationsmacht, die gegenüber einem Individuum gewonnen wird)</w:t>
      </w:r>
      <w:r w:rsidR="00FD56B2" w:rsidRPr="00CA076C">
        <w:t xml:space="preserve"> </w:t>
      </w:r>
      <w:r w:rsidRPr="00CA076C">
        <w:t>oder wirtschaftliche Risiken</w:t>
      </w:r>
    </w:p>
    <w:p w14:paraId="27193B57" w14:textId="77777777" w:rsidR="0091362F" w:rsidRPr="00CA076C" w:rsidRDefault="0091362F" w:rsidP="0091362F">
      <w:pPr>
        <w:pStyle w:val="Listenabsatz"/>
        <w:numPr>
          <w:ilvl w:val="0"/>
          <w:numId w:val="10"/>
        </w:numPr>
      </w:pPr>
      <w:r w:rsidRPr="00CA076C">
        <w:t>Individuelle Risiken, wie z. B. die Erhöhung individueller Verletzlichkeit für Straftaten, da jemand erfährt, wo betroffene Personen angreifbar sind</w:t>
      </w:r>
    </w:p>
    <w:p w14:paraId="0E0631B4" w14:textId="77777777" w:rsidR="0091362F" w:rsidRPr="00CA076C" w:rsidRDefault="0091362F" w:rsidP="0091362F">
      <w:pPr>
        <w:pStyle w:val="Listenabsatz"/>
        <w:numPr>
          <w:ilvl w:val="0"/>
          <w:numId w:val="10"/>
        </w:numPr>
      </w:pPr>
      <w:r w:rsidRPr="00CA076C">
        <w:t xml:space="preserve">Risiken für Gesellschaft und Individuum, </w:t>
      </w:r>
      <w:r w:rsidR="00552F0C" w:rsidRPr="00CA076C">
        <w:t>z. B.</w:t>
      </w:r>
      <w:r w:rsidRPr="00CA076C">
        <w:t xml:space="preserve"> durch Bildung von Persönlichkeitsprofilen oder Fremdbestimmung oder auch die Enttäuschung von Vertraulichkeitserwartungen.</w:t>
      </w:r>
    </w:p>
    <w:p w14:paraId="1EAD899B" w14:textId="77777777" w:rsidR="00060224" w:rsidRPr="00CA076C" w:rsidRDefault="00F01225" w:rsidP="00597483">
      <w:pPr>
        <w:spacing w:after="0"/>
      </w:pPr>
      <w:r w:rsidRPr="00CA076C">
        <w:t>Dabei müssen neben aus früheren Erfahrungen gewonnenen Erkenntnissen (d. h. in der Vergangenheit eingetretene Ereignisse) ableitbaren Risiken gemäß Art. 35 DS-GVO ebenso „voraussichtliche“ Risiken betrachtet werden. Hierzu</w:t>
      </w:r>
      <w:r w:rsidR="00060224" w:rsidRPr="00CA076C">
        <w:t xml:space="preserve"> gibt </w:t>
      </w:r>
      <w:r w:rsidRPr="00CA076C">
        <w:t xml:space="preserve">es </w:t>
      </w:r>
      <w:r w:rsidR="00060224" w:rsidRPr="00CA076C">
        <w:t xml:space="preserve">verschiedene Methoden, </w:t>
      </w:r>
      <w:r w:rsidRPr="00CA076C">
        <w:t>mit denen sich die entsprechenden Risiken identifi</w:t>
      </w:r>
      <w:r w:rsidR="00060224" w:rsidRPr="00CA076C">
        <w:t>zieren lassen. Zu den bekanntesten zählen sicherlich:</w:t>
      </w:r>
    </w:p>
    <w:p w14:paraId="0284B02A" w14:textId="77777777" w:rsidR="00060224" w:rsidRPr="00CA076C" w:rsidRDefault="00F01225" w:rsidP="00060224">
      <w:pPr>
        <w:pStyle w:val="Listenabsatz"/>
        <w:numPr>
          <w:ilvl w:val="0"/>
          <w:numId w:val="43"/>
        </w:numPr>
      </w:pPr>
      <w:r w:rsidRPr="00CA076C">
        <w:t xml:space="preserve">Die Expertenkonsultation, z.B. in Form von </w:t>
      </w:r>
    </w:p>
    <w:p w14:paraId="3766FF38" w14:textId="77777777" w:rsidR="00F01225" w:rsidRPr="00CA076C" w:rsidRDefault="00F01225" w:rsidP="00F01225">
      <w:pPr>
        <w:pStyle w:val="Listenabsatz"/>
        <w:numPr>
          <w:ilvl w:val="1"/>
          <w:numId w:val="43"/>
        </w:numPr>
      </w:pPr>
      <w:r w:rsidRPr="00CA076C">
        <w:t>Brainstorming</w:t>
      </w:r>
    </w:p>
    <w:p w14:paraId="0559D786" w14:textId="77777777" w:rsidR="00F01225" w:rsidRPr="00CA076C" w:rsidRDefault="00F01225" w:rsidP="00F01225">
      <w:pPr>
        <w:pStyle w:val="Listenabsatz"/>
        <w:numPr>
          <w:ilvl w:val="1"/>
          <w:numId w:val="43"/>
        </w:numPr>
      </w:pPr>
      <w:r w:rsidRPr="00CA076C">
        <w:t>Interviews (strukturiert/semistrukturiert)</w:t>
      </w:r>
    </w:p>
    <w:p w14:paraId="62ADE16E" w14:textId="77777777" w:rsidR="00F01225" w:rsidRPr="00CA076C" w:rsidRDefault="00F01225" w:rsidP="00F01225">
      <w:pPr>
        <w:pStyle w:val="Listenabsatz"/>
        <w:numPr>
          <w:ilvl w:val="1"/>
          <w:numId w:val="43"/>
        </w:numPr>
      </w:pPr>
      <w:r w:rsidRPr="00CA076C">
        <w:t>Delphi-Methode</w:t>
      </w:r>
      <w:r w:rsidRPr="00CA076C">
        <w:rPr>
          <w:vertAlign w:val="superscript"/>
        </w:rPr>
        <w:fldChar w:fldCharType="begin"/>
      </w:r>
      <w:r w:rsidRPr="00CA076C">
        <w:rPr>
          <w:vertAlign w:val="superscript"/>
        </w:rPr>
        <w:instrText xml:space="preserve"> NOTEREF _Ref492449324 \h  \* MERGEFORMAT </w:instrText>
      </w:r>
      <w:r w:rsidRPr="00CA076C">
        <w:rPr>
          <w:vertAlign w:val="superscript"/>
        </w:rPr>
      </w:r>
      <w:r w:rsidRPr="00CA076C">
        <w:rPr>
          <w:vertAlign w:val="superscript"/>
        </w:rPr>
        <w:fldChar w:fldCharType="separate"/>
      </w:r>
      <w:r w:rsidR="001D39C0" w:rsidRPr="00CA076C">
        <w:rPr>
          <w:vertAlign w:val="superscript"/>
        </w:rPr>
        <w:t>17</w:t>
      </w:r>
      <w:r w:rsidRPr="00CA076C">
        <w:rPr>
          <w:vertAlign w:val="superscript"/>
        </w:rPr>
        <w:fldChar w:fldCharType="end"/>
      </w:r>
    </w:p>
    <w:p w14:paraId="43AE2A2D" w14:textId="77777777" w:rsidR="00F01225" w:rsidRPr="00CA076C" w:rsidRDefault="00F01225" w:rsidP="00060224">
      <w:pPr>
        <w:pStyle w:val="Listenabsatz"/>
        <w:numPr>
          <w:ilvl w:val="0"/>
          <w:numId w:val="43"/>
        </w:numPr>
      </w:pPr>
      <w:r w:rsidRPr="00CA076C">
        <w:t>Szenario-Analysen, bei welchem in Szenarien der geplante Ablauf durchgespielt wird und dabei festgestellte potentielle Ereignisse, welche zu einem Sicherheitsvorfall führen könnten, erfasst werden.</w:t>
      </w:r>
    </w:p>
    <w:p w14:paraId="0B94EBCC" w14:textId="77777777" w:rsidR="00F01225" w:rsidRPr="00CA076C" w:rsidRDefault="00F01225" w:rsidP="00060224">
      <w:pPr>
        <w:pStyle w:val="Listenabsatz"/>
        <w:numPr>
          <w:ilvl w:val="0"/>
          <w:numId w:val="43"/>
        </w:numPr>
      </w:pPr>
      <w:r w:rsidRPr="00CA076C">
        <w:t>Business Impact Analysen als Sonderform der Expertenkonsultation: es werden kritische Geschäftsprozesse sowie entsprechende Ressourcen betrachtet, die Abhängigkeiten dargestellt und überlegt, welche Auswirkungen ein Ereignis auf diese kritischen Geschäftsprozesse/Ressourcen hat.</w:t>
      </w:r>
    </w:p>
    <w:p w14:paraId="6B26B6B7" w14:textId="77777777" w:rsidR="00F01225" w:rsidRPr="00CA076C" w:rsidRDefault="00F01225" w:rsidP="00060224">
      <w:pPr>
        <w:pStyle w:val="Listenabsatz"/>
        <w:numPr>
          <w:ilvl w:val="0"/>
          <w:numId w:val="43"/>
        </w:numPr>
      </w:pPr>
      <w:r w:rsidRPr="00CA076C">
        <w:t>Die Ursachenanalyse, bei welcher tatsächliche Sicherheitsvorfälle untersucht werden und dargestellt wird, wie es zu diesen Sicherheitsvorfällen kommen konnte.</w:t>
      </w:r>
    </w:p>
    <w:p w14:paraId="473C80DE" w14:textId="02F8B865" w:rsidR="00F74306" w:rsidRPr="00CA076C" w:rsidRDefault="00F01225" w:rsidP="00F74306">
      <w:r w:rsidRPr="00CA076C">
        <w:t>Dabei wird</w:t>
      </w:r>
      <w:r w:rsidR="00F74306" w:rsidRPr="00CA076C">
        <w:t xml:space="preserve"> eine objektive (ErwGr. 76) Bewertung bzgl. de</w:t>
      </w:r>
      <w:r w:rsidRPr="00CA076C">
        <w:t xml:space="preserve">s Risikos </w:t>
      </w:r>
      <w:r w:rsidR="00F74306" w:rsidRPr="00CA076C">
        <w:t>verlangt. Die Richtigkeit der Bewertung kann von unabhängigen Stellen – insbesondere auch von der zuständigen Datenschutz-</w:t>
      </w:r>
      <w:r w:rsidR="00F74306" w:rsidRPr="00CA076C">
        <w:lastRenderedPageBreak/>
        <w:t xml:space="preserve">Aufsichtsbehörde </w:t>
      </w:r>
      <w:r w:rsidRPr="00CA076C">
        <w:t>–</w:t>
      </w:r>
      <w:r w:rsidR="00F74306" w:rsidRPr="00CA076C">
        <w:t xml:space="preserve"> </w:t>
      </w:r>
      <w:r w:rsidRPr="00CA076C">
        <w:t xml:space="preserve">überprüft </w:t>
      </w:r>
      <w:r w:rsidR="00F74306" w:rsidRPr="00CA076C">
        <w:t>werden</w:t>
      </w:r>
      <w:r w:rsidRPr="00CA076C">
        <w:t xml:space="preserve">, ggf. </w:t>
      </w:r>
      <w:r w:rsidR="00794B76" w:rsidRPr="00CA076C">
        <w:t xml:space="preserve">muss die Bewertung einer </w:t>
      </w:r>
      <w:r w:rsidRPr="00CA076C">
        <w:t>gerichtlich</w:t>
      </w:r>
      <w:r w:rsidR="00B52E6C" w:rsidRPr="00CA076C">
        <w:t>en</w:t>
      </w:r>
      <w:r w:rsidRPr="00CA076C">
        <w:t xml:space="preserve"> </w:t>
      </w:r>
      <w:r w:rsidR="00794B76" w:rsidRPr="00CA076C">
        <w:t>Prüfung standhalten</w:t>
      </w:r>
      <w:r w:rsidR="00F74306" w:rsidRPr="00CA076C">
        <w:t xml:space="preserve">. </w:t>
      </w:r>
      <w:r w:rsidR="00794B76" w:rsidRPr="00CA076C">
        <w:t>D</w:t>
      </w:r>
      <w:r w:rsidR="00F74306" w:rsidRPr="00CA076C">
        <w:t xml:space="preserve">er Verarbeiter </w:t>
      </w:r>
      <w:r w:rsidR="00794B76" w:rsidRPr="00CA076C">
        <w:t xml:space="preserve">muss sich </w:t>
      </w:r>
      <w:r w:rsidR="00F74306" w:rsidRPr="00CA076C">
        <w:t>bewusst sein, dass die DS-GVO den Spielraum bzgl. der Bewertung des Risikos nicht bei ihm sieht. Vielmehr ist eine nachvollziehbare Bewertung des Risikos aufgrund der Berücksichtigung der relevanten und überprüfbaren Risikofaktoren aus objektiver Sicht der betroffenen Person</w:t>
      </w:r>
      <w:r w:rsidR="00B52E6C" w:rsidRPr="00CA076C">
        <w:t>(</w:t>
      </w:r>
      <w:r w:rsidR="00F74306" w:rsidRPr="00CA076C">
        <w:t>en</w:t>
      </w:r>
      <w:r w:rsidR="00B52E6C" w:rsidRPr="00CA076C">
        <w:t>)</w:t>
      </w:r>
      <w:r w:rsidR="00F74306" w:rsidRPr="00CA076C">
        <w:t xml:space="preserve"> erforderlich.</w:t>
      </w:r>
    </w:p>
    <w:p w14:paraId="77289E2F" w14:textId="77777777" w:rsidR="00F74306" w:rsidRPr="00CA076C" w:rsidRDefault="00F74306" w:rsidP="00F74306">
      <w:r w:rsidRPr="00CA076C">
        <w:t>Dies bedeutet jedoch nicht, dass später eintretende Tatsachen oder nicht vorhersehbare Entwicklungen die Richtigkeit der Bewertung nachträglich verändern. Für die Beurteilung bzgl. der Bewertung ist einzig und allein relevant, dass zum Zeitpunkt der Erstellung eine Analyse der zu diesem Zeitpunkt vorhandenen Informationen erfolgte. Bei geänderter Informationslage muss jedoch ggf. die Datenschutz-Folgenabschätzung angepasst oder auch neu durchgeführt werden.</w:t>
      </w:r>
    </w:p>
    <w:p w14:paraId="6C497399" w14:textId="77777777" w:rsidR="009E7014" w:rsidRPr="00CA076C" w:rsidRDefault="009E7014" w:rsidP="0065362B">
      <w:pPr>
        <w:spacing w:after="0"/>
      </w:pPr>
      <w:r w:rsidRPr="00CA076C">
        <w:t xml:space="preserve">ErwGr. 75 führt beispielhaft einige Risiken auf, die bei einer </w:t>
      </w:r>
      <w:r w:rsidR="00ED33A2" w:rsidRPr="00CA076C">
        <w:t>Verarbeitung personenbezogener Daten zu berücksichtigen sind</w:t>
      </w:r>
      <w:r w:rsidRPr="00CA076C">
        <w:t>:</w:t>
      </w:r>
    </w:p>
    <w:tbl>
      <w:tblPr>
        <w:tblStyle w:val="Tabellenraster"/>
        <w:tblW w:w="0" w:type="auto"/>
        <w:tblInd w:w="108" w:type="dxa"/>
        <w:tblLook w:val="04A0" w:firstRow="1" w:lastRow="0" w:firstColumn="1" w:lastColumn="0" w:noHBand="0" w:noVBand="1"/>
      </w:tblPr>
      <w:tblGrid>
        <w:gridCol w:w="3544"/>
        <w:gridCol w:w="5560"/>
      </w:tblGrid>
      <w:tr w:rsidR="009E7014" w:rsidRPr="00CA076C" w14:paraId="486E53ED" w14:textId="77777777" w:rsidTr="0065362B">
        <w:tc>
          <w:tcPr>
            <w:tcW w:w="3544" w:type="dxa"/>
          </w:tcPr>
          <w:p w14:paraId="58E49E9B" w14:textId="77777777" w:rsidR="009E7014" w:rsidRPr="00CA076C" w:rsidRDefault="009E7014" w:rsidP="008640CD">
            <w:r w:rsidRPr="00CA076C">
              <w:t>Risiko</w:t>
            </w:r>
          </w:p>
        </w:tc>
        <w:tc>
          <w:tcPr>
            <w:tcW w:w="5560" w:type="dxa"/>
          </w:tcPr>
          <w:p w14:paraId="55A57B0C" w14:textId="77777777" w:rsidR="009E7014" w:rsidRPr="00CA076C" w:rsidRDefault="006A5EFB" w:rsidP="006A5EFB">
            <w:r w:rsidRPr="00CA076C">
              <w:t>Mögliche Folgen für die betroffenen Personen</w:t>
            </w:r>
          </w:p>
        </w:tc>
      </w:tr>
      <w:tr w:rsidR="009E7014" w:rsidRPr="00CA076C" w14:paraId="3C928C97" w14:textId="77777777" w:rsidTr="0065362B">
        <w:tc>
          <w:tcPr>
            <w:tcW w:w="3544" w:type="dxa"/>
          </w:tcPr>
          <w:p w14:paraId="4B967966" w14:textId="77777777" w:rsidR="009E7014" w:rsidRPr="00CA076C" w:rsidRDefault="009E7014" w:rsidP="009E7014">
            <w:pPr>
              <w:pStyle w:val="Listenabsatz"/>
              <w:numPr>
                <w:ilvl w:val="0"/>
                <w:numId w:val="27"/>
              </w:numPr>
              <w:spacing w:before="40" w:after="80"/>
              <w:jc w:val="left"/>
            </w:pPr>
            <w:r w:rsidRPr="00CA076C">
              <w:t>Diskriminierung</w:t>
            </w:r>
          </w:p>
          <w:p w14:paraId="66BC10C6" w14:textId="77777777" w:rsidR="009E7014" w:rsidRPr="00CA076C" w:rsidRDefault="009E7014" w:rsidP="009E7014">
            <w:pPr>
              <w:pStyle w:val="Listenabsatz"/>
              <w:numPr>
                <w:ilvl w:val="0"/>
                <w:numId w:val="27"/>
              </w:numPr>
              <w:spacing w:before="40" w:after="80"/>
              <w:jc w:val="left"/>
            </w:pPr>
            <w:r w:rsidRPr="00CA076C">
              <w:t>Identitätsdiebstahl</w:t>
            </w:r>
          </w:p>
          <w:p w14:paraId="57DC6A26" w14:textId="77777777" w:rsidR="009E7014" w:rsidRPr="00CA076C" w:rsidRDefault="009E7014" w:rsidP="009E7014">
            <w:pPr>
              <w:pStyle w:val="Listenabsatz"/>
              <w:numPr>
                <w:ilvl w:val="0"/>
                <w:numId w:val="27"/>
              </w:numPr>
              <w:spacing w:before="40" w:after="80"/>
              <w:jc w:val="left"/>
            </w:pPr>
            <w:r w:rsidRPr="00CA076C">
              <w:t>Identitätsbetrug</w:t>
            </w:r>
          </w:p>
          <w:p w14:paraId="3DE11510" w14:textId="77777777" w:rsidR="009E7014" w:rsidRPr="00CA076C" w:rsidRDefault="009E7014" w:rsidP="009E7014">
            <w:pPr>
              <w:pStyle w:val="Listenabsatz"/>
              <w:numPr>
                <w:ilvl w:val="0"/>
                <w:numId w:val="27"/>
              </w:numPr>
              <w:spacing w:before="40" w:after="80"/>
              <w:jc w:val="left"/>
            </w:pPr>
            <w:r w:rsidRPr="00CA076C">
              <w:t>Finanziellen Verlust</w:t>
            </w:r>
          </w:p>
          <w:p w14:paraId="7EF1D7CE" w14:textId="77777777" w:rsidR="009E7014" w:rsidRPr="00CA076C" w:rsidRDefault="009E7014" w:rsidP="009E7014">
            <w:pPr>
              <w:pStyle w:val="Listenabsatz"/>
              <w:numPr>
                <w:ilvl w:val="0"/>
                <w:numId w:val="27"/>
              </w:numPr>
              <w:spacing w:before="40" w:after="80"/>
              <w:jc w:val="left"/>
            </w:pPr>
            <w:r w:rsidRPr="00CA076C">
              <w:t>Rufschädigung</w:t>
            </w:r>
          </w:p>
          <w:p w14:paraId="1EF1079A" w14:textId="77777777" w:rsidR="009E7014" w:rsidRPr="00CA076C" w:rsidRDefault="009E7014" w:rsidP="009E7014">
            <w:pPr>
              <w:pStyle w:val="Listenabsatz"/>
              <w:numPr>
                <w:ilvl w:val="0"/>
                <w:numId w:val="27"/>
              </w:numPr>
              <w:spacing w:before="40" w:after="80"/>
              <w:jc w:val="left"/>
            </w:pPr>
            <w:r w:rsidRPr="00CA076C">
              <w:t>Verlust der Vertraulichkeit von dem Berufsgeheimnis unterliegenden personenbezogenen Daten</w:t>
            </w:r>
          </w:p>
          <w:p w14:paraId="1FBD6BE6" w14:textId="77777777" w:rsidR="009E7014" w:rsidRPr="00CA076C" w:rsidRDefault="009E7014" w:rsidP="009E7014">
            <w:pPr>
              <w:pStyle w:val="Listenabsatz"/>
              <w:numPr>
                <w:ilvl w:val="0"/>
                <w:numId w:val="27"/>
              </w:numPr>
              <w:spacing w:before="40" w:after="80"/>
              <w:jc w:val="left"/>
            </w:pPr>
            <w:r w:rsidRPr="00CA076C">
              <w:t>Unbefugte Aufhebung der Pseudonymisierung</w:t>
            </w:r>
          </w:p>
          <w:p w14:paraId="40E11EF0" w14:textId="4C59180D" w:rsidR="009E7014" w:rsidRPr="00CA076C" w:rsidRDefault="009E7014" w:rsidP="009E7014">
            <w:pPr>
              <w:pStyle w:val="Listenabsatz"/>
              <w:numPr>
                <w:ilvl w:val="0"/>
                <w:numId w:val="27"/>
              </w:numPr>
              <w:spacing w:before="40" w:after="80"/>
              <w:jc w:val="left"/>
            </w:pPr>
            <w:r w:rsidRPr="00CA076C">
              <w:t>Andere erhebliche wirtschaftliche oder gesellschaftliche Nachteilen</w:t>
            </w:r>
          </w:p>
          <w:p w14:paraId="176CA280" w14:textId="77777777" w:rsidR="009E7014" w:rsidRPr="00CA076C" w:rsidRDefault="009E7014" w:rsidP="008640CD"/>
        </w:tc>
        <w:tc>
          <w:tcPr>
            <w:tcW w:w="5560" w:type="dxa"/>
          </w:tcPr>
          <w:p w14:paraId="3DA2BCA7" w14:textId="77777777" w:rsidR="009E7014" w:rsidRPr="00CA076C" w:rsidRDefault="009E7014" w:rsidP="009E7014">
            <w:pPr>
              <w:pStyle w:val="Listenabsatz"/>
              <w:numPr>
                <w:ilvl w:val="0"/>
                <w:numId w:val="27"/>
              </w:numPr>
              <w:spacing w:before="40" w:after="80"/>
              <w:jc w:val="left"/>
            </w:pPr>
            <w:r w:rsidRPr="00CA076C">
              <w:t>Betroffene Personen werden um ihre Rechte und Freiheiten gebracht</w:t>
            </w:r>
          </w:p>
          <w:p w14:paraId="272C1654" w14:textId="77777777" w:rsidR="009E7014" w:rsidRPr="00CA076C" w:rsidRDefault="009E7014" w:rsidP="009E7014">
            <w:pPr>
              <w:pStyle w:val="Listenabsatz"/>
              <w:numPr>
                <w:ilvl w:val="0"/>
                <w:numId w:val="27"/>
              </w:numPr>
              <w:spacing w:before="40" w:after="80"/>
              <w:jc w:val="left"/>
            </w:pPr>
            <w:r w:rsidRPr="00CA076C">
              <w:t>Betroffene Personen werden daran gehindert, die sie betreffenden personenbezogenen Daten zu kontrollieren</w:t>
            </w:r>
          </w:p>
          <w:p w14:paraId="61616F2D" w14:textId="77777777" w:rsidR="009E7014" w:rsidRPr="00CA076C" w:rsidRDefault="009E7014" w:rsidP="009E7014">
            <w:pPr>
              <w:pStyle w:val="Listenabsatz"/>
              <w:numPr>
                <w:ilvl w:val="0"/>
                <w:numId w:val="27"/>
              </w:numPr>
              <w:spacing w:before="40" w:after="80"/>
              <w:jc w:val="left"/>
            </w:pPr>
            <w:r w:rsidRPr="00CA076C">
              <w:t>Verarbeitung besonderer Kategorien von Daten, d. h. Daten bzgl.</w:t>
            </w:r>
          </w:p>
          <w:p w14:paraId="71F3094E" w14:textId="4D508CDA" w:rsidR="009E7014" w:rsidRPr="00CA076C" w:rsidRDefault="009E7014" w:rsidP="009E7014">
            <w:pPr>
              <w:pStyle w:val="Listenabsatz"/>
              <w:numPr>
                <w:ilvl w:val="1"/>
                <w:numId w:val="27"/>
              </w:numPr>
              <w:spacing w:before="40" w:after="80"/>
              <w:jc w:val="left"/>
            </w:pPr>
            <w:r w:rsidRPr="00CA076C">
              <w:t>Rassische</w:t>
            </w:r>
            <w:r w:rsidR="00B84588">
              <w:t>r</w:t>
            </w:r>
            <w:r w:rsidRPr="00CA076C">
              <w:t xml:space="preserve"> oder ethnische</w:t>
            </w:r>
            <w:r w:rsidR="00B84588">
              <w:t>r</w:t>
            </w:r>
            <w:r w:rsidRPr="00CA076C">
              <w:t xml:space="preserve"> Herkunft,</w:t>
            </w:r>
          </w:p>
          <w:p w14:paraId="13B8EE20" w14:textId="10FC9533" w:rsidR="009E7014" w:rsidRPr="00CA076C" w:rsidRDefault="009E7014" w:rsidP="009E7014">
            <w:pPr>
              <w:pStyle w:val="Listenabsatz"/>
              <w:numPr>
                <w:ilvl w:val="1"/>
                <w:numId w:val="27"/>
              </w:numPr>
              <w:spacing w:before="40" w:after="80"/>
              <w:jc w:val="left"/>
            </w:pPr>
            <w:r w:rsidRPr="00CA076C">
              <w:t>Politische Meinungen</w:t>
            </w:r>
          </w:p>
          <w:p w14:paraId="3893ED9C" w14:textId="77777777" w:rsidR="009E7014" w:rsidRPr="00CA076C" w:rsidRDefault="009E7014" w:rsidP="009E7014">
            <w:pPr>
              <w:pStyle w:val="Listenabsatz"/>
              <w:numPr>
                <w:ilvl w:val="1"/>
                <w:numId w:val="27"/>
              </w:numPr>
              <w:spacing w:before="40" w:after="80"/>
              <w:jc w:val="left"/>
            </w:pPr>
            <w:r w:rsidRPr="00CA076C">
              <w:t>Religiöse oder weltanschauliche Überzeugungen</w:t>
            </w:r>
          </w:p>
          <w:p w14:paraId="1E0F450D" w14:textId="77777777" w:rsidR="009E7014" w:rsidRPr="00CA076C" w:rsidRDefault="009E7014" w:rsidP="009E7014">
            <w:pPr>
              <w:pStyle w:val="Listenabsatz"/>
              <w:numPr>
                <w:ilvl w:val="1"/>
                <w:numId w:val="27"/>
              </w:numPr>
              <w:spacing w:before="40" w:after="80"/>
              <w:jc w:val="left"/>
            </w:pPr>
            <w:r w:rsidRPr="00CA076C">
              <w:t>Zugehörigkeit zu einer Gewerkschaft</w:t>
            </w:r>
          </w:p>
          <w:p w14:paraId="4AD8D339" w14:textId="77777777" w:rsidR="009E7014" w:rsidRPr="00CA076C" w:rsidRDefault="009E7014" w:rsidP="009E7014">
            <w:pPr>
              <w:pStyle w:val="Listenabsatz"/>
              <w:numPr>
                <w:ilvl w:val="1"/>
                <w:numId w:val="27"/>
              </w:numPr>
              <w:spacing w:before="40" w:after="80"/>
              <w:jc w:val="left"/>
            </w:pPr>
            <w:r w:rsidRPr="00CA076C">
              <w:t>Genetische Daten</w:t>
            </w:r>
          </w:p>
          <w:p w14:paraId="7B2C00D4" w14:textId="77777777" w:rsidR="009E7014" w:rsidRPr="00CA076C" w:rsidRDefault="009E7014" w:rsidP="009E7014">
            <w:pPr>
              <w:pStyle w:val="Listenabsatz"/>
              <w:numPr>
                <w:ilvl w:val="1"/>
                <w:numId w:val="27"/>
              </w:numPr>
              <w:spacing w:before="40" w:after="80"/>
              <w:jc w:val="left"/>
            </w:pPr>
            <w:r w:rsidRPr="00CA076C">
              <w:t>Gesundheitsdaten</w:t>
            </w:r>
          </w:p>
          <w:p w14:paraId="6228BE06" w14:textId="77777777" w:rsidR="009E7014" w:rsidRPr="00CA076C" w:rsidRDefault="009E7014" w:rsidP="009E7014">
            <w:pPr>
              <w:pStyle w:val="Listenabsatz"/>
              <w:numPr>
                <w:ilvl w:val="1"/>
                <w:numId w:val="27"/>
              </w:numPr>
              <w:spacing w:before="40" w:after="80"/>
              <w:jc w:val="left"/>
            </w:pPr>
            <w:r w:rsidRPr="00CA076C">
              <w:t>Sexualleben</w:t>
            </w:r>
          </w:p>
          <w:p w14:paraId="500ED381" w14:textId="77777777" w:rsidR="009E7014" w:rsidRPr="00CA076C" w:rsidRDefault="009E7014" w:rsidP="009E7014">
            <w:pPr>
              <w:pStyle w:val="Listenabsatz"/>
              <w:numPr>
                <w:ilvl w:val="1"/>
                <w:numId w:val="27"/>
              </w:numPr>
              <w:spacing w:before="40" w:after="80"/>
              <w:jc w:val="left"/>
            </w:pPr>
            <w:r w:rsidRPr="00CA076C">
              <w:t>Strafrechtliche Verurteilungen und Straftaten</w:t>
            </w:r>
          </w:p>
          <w:p w14:paraId="63D4E835" w14:textId="77777777" w:rsidR="009E7014" w:rsidRPr="00CA076C" w:rsidRDefault="009E7014" w:rsidP="009E7014">
            <w:pPr>
              <w:pStyle w:val="Listenabsatz"/>
              <w:numPr>
                <w:ilvl w:val="0"/>
                <w:numId w:val="27"/>
              </w:numPr>
              <w:spacing w:before="40" w:after="80"/>
              <w:jc w:val="left"/>
            </w:pPr>
            <w:r w:rsidRPr="00CA076C">
              <w:t>Bewertung persönliche Aspekte, insbesondere Daten betreffend</w:t>
            </w:r>
          </w:p>
          <w:p w14:paraId="79DD2C1E" w14:textId="77777777" w:rsidR="009E7014" w:rsidRPr="00CA076C" w:rsidRDefault="009E7014" w:rsidP="009E7014">
            <w:pPr>
              <w:pStyle w:val="Listenabsatz"/>
              <w:numPr>
                <w:ilvl w:val="1"/>
                <w:numId w:val="27"/>
              </w:numPr>
              <w:spacing w:before="40" w:after="80"/>
              <w:jc w:val="left"/>
            </w:pPr>
            <w:r w:rsidRPr="00CA076C">
              <w:t>Arbeitsleistung</w:t>
            </w:r>
          </w:p>
          <w:p w14:paraId="34F26632" w14:textId="77777777" w:rsidR="009E7014" w:rsidRPr="00CA076C" w:rsidRDefault="009E7014" w:rsidP="009E7014">
            <w:pPr>
              <w:pStyle w:val="Listenabsatz"/>
              <w:numPr>
                <w:ilvl w:val="1"/>
                <w:numId w:val="27"/>
              </w:numPr>
              <w:spacing w:before="40" w:after="80"/>
              <w:jc w:val="left"/>
            </w:pPr>
            <w:r w:rsidRPr="00CA076C">
              <w:t>Wirtschaftlicher Lage</w:t>
            </w:r>
          </w:p>
          <w:p w14:paraId="52476A33" w14:textId="77777777" w:rsidR="009E7014" w:rsidRPr="00CA076C" w:rsidRDefault="009E7014" w:rsidP="009E7014">
            <w:pPr>
              <w:pStyle w:val="Listenabsatz"/>
              <w:numPr>
                <w:ilvl w:val="1"/>
                <w:numId w:val="27"/>
              </w:numPr>
              <w:spacing w:before="40" w:after="80"/>
              <w:jc w:val="left"/>
            </w:pPr>
            <w:r w:rsidRPr="00CA076C">
              <w:t>Gesundheit</w:t>
            </w:r>
          </w:p>
          <w:p w14:paraId="18C1FECC" w14:textId="77777777" w:rsidR="009E7014" w:rsidRPr="00CA076C" w:rsidRDefault="009E7014" w:rsidP="009E7014">
            <w:pPr>
              <w:pStyle w:val="Listenabsatz"/>
              <w:numPr>
                <w:ilvl w:val="1"/>
                <w:numId w:val="27"/>
              </w:numPr>
              <w:spacing w:before="40" w:after="80"/>
              <w:jc w:val="left"/>
            </w:pPr>
            <w:r w:rsidRPr="00CA076C">
              <w:t>Persönliche Vorlieben oder Interessen</w:t>
            </w:r>
          </w:p>
          <w:p w14:paraId="65588A89" w14:textId="77777777" w:rsidR="009E7014" w:rsidRPr="00CA076C" w:rsidRDefault="009E7014" w:rsidP="009E7014">
            <w:pPr>
              <w:pStyle w:val="Listenabsatz"/>
              <w:numPr>
                <w:ilvl w:val="1"/>
                <w:numId w:val="27"/>
              </w:numPr>
              <w:spacing w:before="40" w:after="80"/>
              <w:jc w:val="left"/>
            </w:pPr>
            <w:r w:rsidRPr="00CA076C">
              <w:t>Zuverlässigkeit</w:t>
            </w:r>
          </w:p>
          <w:p w14:paraId="10C78CFA" w14:textId="77777777" w:rsidR="009E7014" w:rsidRPr="00CA076C" w:rsidRDefault="009E7014" w:rsidP="009E7014">
            <w:pPr>
              <w:pStyle w:val="Listenabsatz"/>
              <w:numPr>
                <w:ilvl w:val="1"/>
                <w:numId w:val="27"/>
              </w:numPr>
              <w:spacing w:before="40" w:after="80"/>
              <w:jc w:val="left"/>
            </w:pPr>
            <w:r w:rsidRPr="00CA076C">
              <w:t>Verhalten</w:t>
            </w:r>
          </w:p>
          <w:p w14:paraId="5278192D" w14:textId="77777777" w:rsidR="009E7014" w:rsidRPr="00CA076C" w:rsidRDefault="009E7014" w:rsidP="009E7014">
            <w:pPr>
              <w:pStyle w:val="Listenabsatz"/>
              <w:numPr>
                <w:ilvl w:val="1"/>
                <w:numId w:val="27"/>
              </w:numPr>
              <w:spacing w:before="40" w:after="80"/>
              <w:jc w:val="left"/>
            </w:pPr>
            <w:r w:rsidRPr="00CA076C">
              <w:t>Aufenthaltsort</w:t>
            </w:r>
          </w:p>
          <w:p w14:paraId="646AC2B0" w14:textId="77777777" w:rsidR="009E7014" w:rsidRPr="00CA076C" w:rsidRDefault="009E7014" w:rsidP="009E7014">
            <w:pPr>
              <w:pStyle w:val="Listenabsatz"/>
              <w:numPr>
                <w:ilvl w:val="1"/>
                <w:numId w:val="27"/>
              </w:numPr>
              <w:spacing w:before="40" w:after="80"/>
              <w:jc w:val="left"/>
            </w:pPr>
            <w:r w:rsidRPr="00CA076C">
              <w:t>Ortswechsel</w:t>
            </w:r>
          </w:p>
          <w:p w14:paraId="6EBBD6FE" w14:textId="77777777" w:rsidR="009E7014" w:rsidRPr="00CA076C" w:rsidRDefault="009E7014" w:rsidP="009E7014">
            <w:pPr>
              <w:pStyle w:val="Listenabsatz"/>
              <w:numPr>
                <w:ilvl w:val="0"/>
                <w:numId w:val="27"/>
              </w:numPr>
              <w:spacing w:before="40" w:after="80"/>
              <w:jc w:val="left"/>
            </w:pPr>
            <w:r w:rsidRPr="00CA076C">
              <w:t>Verarbeitung von Daten schutzbedürftiger natürlicher Personen, insbesondere Daten von Kindern</w:t>
            </w:r>
          </w:p>
          <w:p w14:paraId="3733AE2F" w14:textId="77777777" w:rsidR="009E7014" w:rsidRPr="00CA076C" w:rsidRDefault="009E7014" w:rsidP="009E7014">
            <w:pPr>
              <w:pStyle w:val="Listenabsatz"/>
              <w:numPr>
                <w:ilvl w:val="0"/>
                <w:numId w:val="27"/>
              </w:numPr>
              <w:spacing w:before="40" w:after="80"/>
              <w:jc w:val="left"/>
            </w:pPr>
            <w:r w:rsidRPr="00CA076C">
              <w:t>Großer Verarbeitungsumfang</w:t>
            </w:r>
          </w:p>
          <w:p w14:paraId="54AE07BB" w14:textId="77777777" w:rsidR="009E7014" w:rsidRPr="00CA076C" w:rsidRDefault="009E7014" w:rsidP="009E7014">
            <w:pPr>
              <w:pStyle w:val="Listenabsatz"/>
              <w:numPr>
                <w:ilvl w:val="1"/>
                <w:numId w:val="27"/>
              </w:numPr>
              <w:spacing w:before="40" w:after="80"/>
              <w:jc w:val="left"/>
            </w:pPr>
            <w:r w:rsidRPr="00CA076C">
              <w:t>Große Menge personenbezogener Daten betreffend</w:t>
            </w:r>
          </w:p>
          <w:p w14:paraId="336B75CA" w14:textId="77777777" w:rsidR="009E7014" w:rsidRPr="00CA076C" w:rsidRDefault="009E7014" w:rsidP="009E7014">
            <w:pPr>
              <w:pStyle w:val="Listenabsatz"/>
              <w:numPr>
                <w:ilvl w:val="1"/>
                <w:numId w:val="27"/>
              </w:numPr>
              <w:spacing w:before="40" w:after="80"/>
              <w:jc w:val="left"/>
            </w:pPr>
            <w:r w:rsidRPr="00CA076C">
              <w:t>Große Anzahl von betroffenen Personen betreffend</w:t>
            </w:r>
          </w:p>
        </w:tc>
      </w:tr>
    </w:tbl>
    <w:p w14:paraId="5D285E43" w14:textId="77777777" w:rsidR="009E7014" w:rsidRPr="00CA076C" w:rsidRDefault="009E7014" w:rsidP="009E7014"/>
    <w:p w14:paraId="70B50F45" w14:textId="77777777" w:rsidR="009E7014" w:rsidRPr="00CA076C" w:rsidRDefault="009E7014" w:rsidP="009E7014">
      <w:pPr>
        <w:spacing w:after="0"/>
      </w:pPr>
      <w:r w:rsidRPr="00CA076C">
        <w:lastRenderedPageBreak/>
        <w:t>ErwGr. 83 benennt ebenfalls verschiedene Risiken, die berücksichtigt werden sollen:</w:t>
      </w:r>
    </w:p>
    <w:p w14:paraId="6D17CF96" w14:textId="77777777" w:rsidR="009E7014" w:rsidRPr="00CA076C" w:rsidRDefault="009E7014" w:rsidP="009E7014">
      <w:pPr>
        <w:pStyle w:val="Listenabsatz"/>
        <w:numPr>
          <w:ilvl w:val="0"/>
          <w:numId w:val="28"/>
        </w:numPr>
        <w:spacing w:before="40" w:after="80"/>
        <w:jc w:val="left"/>
      </w:pPr>
      <w:r w:rsidRPr="00CA076C">
        <w:t>Vernichtung personenbezogener Daten</w:t>
      </w:r>
    </w:p>
    <w:p w14:paraId="4583A1B5" w14:textId="77777777" w:rsidR="009E7014" w:rsidRPr="00CA076C" w:rsidRDefault="009E7014" w:rsidP="009E7014">
      <w:pPr>
        <w:pStyle w:val="Listenabsatz"/>
        <w:numPr>
          <w:ilvl w:val="0"/>
          <w:numId w:val="28"/>
        </w:numPr>
        <w:spacing w:before="40" w:after="80"/>
        <w:jc w:val="left"/>
      </w:pPr>
      <w:r w:rsidRPr="00CA076C">
        <w:t>Verlust personenbezogener Daten</w:t>
      </w:r>
    </w:p>
    <w:p w14:paraId="65DF6C1A" w14:textId="77777777" w:rsidR="009E7014" w:rsidRPr="00CA076C" w:rsidRDefault="009E7014" w:rsidP="009E7014">
      <w:pPr>
        <w:pStyle w:val="Listenabsatz"/>
        <w:numPr>
          <w:ilvl w:val="0"/>
          <w:numId w:val="28"/>
        </w:numPr>
        <w:spacing w:before="40" w:after="80"/>
        <w:jc w:val="left"/>
      </w:pPr>
      <w:r w:rsidRPr="00CA076C">
        <w:t>Veränderung personenbezogener Daten</w:t>
      </w:r>
    </w:p>
    <w:p w14:paraId="1D6E4725" w14:textId="183884C1" w:rsidR="001042B7" w:rsidRPr="00CA076C" w:rsidRDefault="009E7014" w:rsidP="001042B7">
      <w:pPr>
        <w:pStyle w:val="Listenabsatz"/>
        <w:numPr>
          <w:ilvl w:val="0"/>
          <w:numId w:val="28"/>
        </w:numPr>
        <w:spacing w:before="40" w:after="80"/>
        <w:jc w:val="left"/>
      </w:pPr>
      <w:r w:rsidRPr="00CA076C">
        <w:t>Unbefugte Offenlegung personenbezogener Daten</w:t>
      </w:r>
      <w:r w:rsidR="003167AF" w:rsidRPr="00CA076C">
        <w:t xml:space="preserve"> bzw. u</w:t>
      </w:r>
      <w:r w:rsidRPr="00CA076C">
        <w:t>nbefugter Zugang zu personenbezogenen Daten</w:t>
      </w:r>
      <w:r w:rsidR="00C5624F">
        <w:t>,</w:t>
      </w:r>
    </w:p>
    <w:p w14:paraId="5808D3A2" w14:textId="4B498FC4" w:rsidR="001042B7" w:rsidRDefault="00597483" w:rsidP="001042B7">
      <w:r>
        <w:t>i</w:t>
      </w:r>
      <w:r w:rsidR="001042B7">
        <w:t>nsbesondere</w:t>
      </w:r>
      <w:r w:rsidR="00C5624F">
        <w:t>,</w:t>
      </w:r>
      <w:r w:rsidR="001042B7">
        <w:t xml:space="preserve"> wenn dies</w:t>
      </w:r>
      <w:r w:rsidR="00C5624F">
        <w:t>e</w:t>
      </w:r>
      <w:r w:rsidR="001042B7">
        <w:t xml:space="preserve"> zu einem physischen, materiellen oder immateriellen Schaden führen könne</w:t>
      </w:r>
      <w:r w:rsidR="00C5624F">
        <w:t>n</w:t>
      </w:r>
      <w:r w:rsidR="001042B7">
        <w:t>.</w:t>
      </w:r>
    </w:p>
    <w:p w14:paraId="71BCF986" w14:textId="67703E09" w:rsidR="009E7014" w:rsidRPr="00CA076C" w:rsidRDefault="00ED33A2" w:rsidP="00ED33A2">
      <w:r w:rsidRPr="00CA076C">
        <w:t>Entsprechend ErwGr. 83 ist es unerheblich, ob die Risiken aus einer beabsichtigten, einer unbeabsichtigten oder auch einer unrechtmäßigen Handlung resultieren.</w:t>
      </w:r>
    </w:p>
    <w:p w14:paraId="79BD702E" w14:textId="77777777" w:rsidR="00060224" w:rsidRPr="00CA076C" w:rsidRDefault="00060224" w:rsidP="00FF586E">
      <w:pPr>
        <w:spacing w:after="0"/>
      </w:pPr>
      <w:r w:rsidRPr="00CA076C">
        <w:t>Die Risiken für die betroffenen Personen können aus Sicht der IT-Sicherheit i. d. R. auf drei Fälle eingegrenzt werden:</w:t>
      </w:r>
    </w:p>
    <w:p w14:paraId="73858121" w14:textId="2732BF70" w:rsidR="00060224" w:rsidRPr="00CA076C" w:rsidRDefault="00060224" w:rsidP="00060224">
      <w:pPr>
        <w:pStyle w:val="Listenabsatz"/>
        <w:numPr>
          <w:ilvl w:val="0"/>
          <w:numId w:val="11"/>
        </w:numPr>
      </w:pPr>
      <w:r w:rsidRPr="00CA076C">
        <w:t>Unbefugte erhalten Zugriff auf die Informationen</w:t>
      </w:r>
      <w:r w:rsidR="001F5808">
        <w:t>.</w:t>
      </w:r>
    </w:p>
    <w:p w14:paraId="63B7C8E5" w14:textId="008B80DE" w:rsidR="00060224" w:rsidRPr="00CA076C" w:rsidRDefault="00060224" w:rsidP="00060224">
      <w:pPr>
        <w:pStyle w:val="Listenabsatz"/>
        <w:numPr>
          <w:ilvl w:val="0"/>
          <w:numId w:val="11"/>
        </w:numPr>
      </w:pPr>
      <w:r w:rsidRPr="00CA076C">
        <w:t>Informationen erfahren eine unerwünschte Änderung</w:t>
      </w:r>
      <w:r w:rsidR="001F5808">
        <w:t>.</w:t>
      </w:r>
    </w:p>
    <w:p w14:paraId="1CA2E76A" w14:textId="7E9B3D50" w:rsidR="00060224" w:rsidRPr="00CA076C" w:rsidRDefault="00060224" w:rsidP="00060224">
      <w:pPr>
        <w:pStyle w:val="Listenabsatz"/>
        <w:numPr>
          <w:ilvl w:val="1"/>
          <w:numId w:val="11"/>
        </w:numPr>
        <w:ind w:left="1134"/>
      </w:pPr>
      <w:r w:rsidRPr="00CA076C">
        <w:t>Dies geschieht ungewollt durch einen Anwender, dem entsprechend Rechte zugewiesen wurde (z. B. Fehlbedienung oder Unachtsamkeit)</w:t>
      </w:r>
      <w:r w:rsidR="001F5808">
        <w:t>.</w:t>
      </w:r>
    </w:p>
    <w:p w14:paraId="30948867" w14:textId="028E03F9" w:rsidR="00060224" w:rsidRPr="00CA076C" w:rsidRDefault="00060224" w:rsidP="00060224">
      <w:pPr>
        <w:pStyle w:val="Listenabsatz"/>
        <w:numPr>
          <w:ilvl w:val="1"/>
          <w:numId w:val="11"/>
        </w:numPr>
        <w:ind w:left="1134"/>
      </w:pPr>
      <w:r w:rsidRPr="00CA076C">
        <w:t>Dies geschieht durch einen Angreifer, der sich entsprechende Rechte verschaffte</w:t>
      </w:r>
      <w:r w:rsidR="001F5808">
        <w:t>.</w:t>
      </w:r>
    </w:p>
    <w:p w14:paraId="4D41A86A" w14:textId="77777777" w:rsidR="00060224" w:rsidRPr="00CA076C" w:rsidRDefault="00060224" w:rsidP="00060224">
      <w:pPr>
        <w:pStyle w:val="Listenabsatz"/>
        <w:numPr>
          <w:ilvl w:val="0"/>
          <w:numId w:val="11"/>
        </w:numPr>
      </w:pPr>
      <w:r w:rsidRPr="00CA076C">
        <w:t>Informationen werden vernichtet.</w:t>
      </w:r>
    </w:p>
    <w:p w14:paraId="6AE6D1E8" w14:textId="30C6023C" w:rsidR="00060224" w:rsidRPr="00CA076C" w:rsidRDefault="00060224" w:rsidP="00060224">
      <w:pPr>
        <w:pStyle w:val="Listenabsatz"/>
        <w:numPr>
          <w:ilvl w:val="1"/>
          <w:numId w:val="42"/>
        </w:numPr>
        <w:ind w:left="1134"/>
      </w:pPr>
      <w:r w:rsidRPr="00CA076C">
        <w:t>Dies geschieht ungewollt durch einen Anwender, dem entsprechend</w:t>
      </w:r>
      <w:r w:rsidR="001F5808">
        <w:t>e</w:t>
      </w:r>
      <w:r w:rsidRPr="00CA076C">
        <w:t xml:space="preserve"> Rechte zugewiesen wurde</w:t>
      </w:r>
      <w:r w:rsidR="001F5808">
        <w:t>n</w:t>
      </w:r>
      <w:r w:rsidRPr="00CA076C">
        <w:t xml:space="preserve"> (z. B. Fehlbedienung oder Unachtsamkeit)</w:t>
      </w:r>
      <w:r w:rsidR="001F5808">
        <w:t>.</w:t>
      </w:r>
    </w:p>
    <w:p w14:paraId="340FA499" w14:textId="77777777" w:rsidR="00060224" w:rsidRPr="00CA076C" w:rsidRDefault="00060224" w:rsidP="00060224">
      <w:pPr>
        <w:pStyle w:val="Listenabsatz"/>
        <w:numPr>
          <w:ilvl w:val="1"/>
          <w:numId w:val="42"/>
        </w:numPr>
        <w:ind w:left="1134"/>
      </w:pPr>
      <w:r w:rsidRPr="00CA076C">
        <w:t>Dies geschieht durch einen Angreifer, der sich entsprechende Rechte verschaffte.</w:t>
      </w:r>
    </w:p>
    <w:p w14:paraId="572A4A09" w14:textId="77777777" w:rsidR="0091362F" w:rsidRPr="00CA076C" w:rsidRDefault="0091362F" w:rsidP="0091362F">
      <w:pPr>
        <w:pStyle w:val="berschrift3"/>
      </w:pPr>
      <w:bookmarkStart w:id="95" w:name="_Toc503456504"/>
      <w:r w:rsidRPr="00CA076C">
        <w:t>Quantifizierung der Risiken</w:t>
      </w:r>
      <w:bookmarkEnd w:id="95"/>
    </w:p>
    <w:p w14:paraId="0C672DEA" w14:textId="77777777" w:rsidR="0091362F" w:rsidRPr="00CA076C" w:rsidRDefault="0091362F" w:rsidP="0091362F">
      <w:pPr>
        <w:spacing w:after="0"/>
      </w:pPr>
      <w:r w:rsidRPr="00CA076C">
        <w:t>Eine Quantifizierung erkannter Risiken kann u. a. durch die nachfolgend vorgestellten Ansätze erfolgen:</w:t>
      </w:r>
    </w:p>
    <w:p w14:paraId="6D591A09" w14:textId="77777777" w:rsidR="0091362F" w:rsidRPr="00CA076C" w:rsidRDefault="0091362F" w:rsidP="0091362F">
      <w:pPr>
        <w:pStyle w:val="Listenabsatz"/>
        <w:numPr>
          <w:ilvl w:val="0"/>
          <w:numId w:val="9"/>
        </w:numPr>
      </w:pPr>
      <w:r w:rsidRPr="00CA076C">
        <w:t>Experten-Befragung: Mit Hilfe von meist strukturierten Fragebögen wird versucht, IT-Sicherheitsrisiken zu identifizieren und zu quantifizieren.</w:t>
      </w:r>
      <w:r w:rsidR="00060224" w:rsidRPr="00CA076C">
        <w:t xml:space="preserve"> Hierzu bieten sich zum einen strukturierte oder semstrukturierte Interviews an, zum anderen kann die Delphi-Methode</w:t>
      </w:r>
      <w:bookmarkStart w:id="96" w:name="_Ref492449324"/>
      <w:r w:rsidR="00060224" w:rsidRPr="00CA076C">
        <w:rPr>
          <w:rStyle w:val="Funotenzeichen"/>
        </w:rPr>
        <w:footnoteReference w:id="17"/>
      </w:r>
      <w:bookmarkEnd w:id="96"/>
      <w:r w:rsidR="00060224" w:rsidRPr="00CA076C">
        <w:t xml:space="preserve"> eingesetzt werden.</w:t>
      </w:r>
    </w:p>
    <w:p w14:paraId="0E48B5AC" w14:textId="77777777" w:rsidR="0091362F" w:rsidRPr="00CA076C" w:rsidRDefault="00141D6D" w:rsidP="0091362F">
      <w:pPr>
        <w:pStyle w:val="Listenabsatz"/>
        <w:numPr>
          <w:ilvl w:val="0"/>
          <w:numId w:val="9"/>
        </w:numPr>
      </w:pPr>
      <w:r w:rsidRPr="00CA076C">
        <w:t>Indikator-Ansatz: Anhand bestimmter Kennzahl bzw. eines Kennzahlensystems werden vorliegende IT-Sicherheitsrisiken indirekt ermittelt.</w:t>
      </w:r>
    </w:p>
    <w:p w14:paraId="166E3844" w14:textId="77777777" w:rsidR="0091362F" w:rsidRPr="00CA076C" w:rsidRDefault="0091362F" w:rsidP="0091362F">
      <w:pPr>
        <w:pStyle w:val="Listenabsatz"/>
        <w:numPr>
          <w:ilvl w:val="0"/>
          <w:numId w:val="9"/>
        </w:numPr>
      </w:pPr>
      <w:r w:rsidRPr="00CA076C">
        <w:t>Stochastische Methoden: Basierend auf historischen Schadensdaten bzgl. der Häufigkeit und Schwere von eingetretenen Schäden werden statistische Verteilungsfunktionen zur Simulation genutzt, um so die das Eintreten künftiger IT-Sicherheitsrisiken abzuschätzen.</w:t>
      </w:r>
    </w:p>
    <w:p w14:paraId="1D7145B2" w14:textId="77777777" w:rsidR="0091362F" w:rsidRPr="00CA076C" w:rsidRDefault="0091362F" w:rsidP="0091362F">
      <w:pPr>
        <w:pStyle w:val="Listenabsatz"/>
        <w:numPr>
          <w:ilvl w:val="0"/>
          <w:numId w:val="9"/>
        </w:numPr>
      </w:pPr>
      <w:r w:rsidRPr="00CA076C">
        <w:t>Kausal-Methoden: Zwischen den identifizierten Risikoquellen bzw. -treibern und den daraus resultierenden Schäden werden mittels statistischer Methoden Zusammenhänge dargestellt.</w:t>
      </w:r>
    </w:p>
    <w:p w14:paraId="1D8B91F6" w14:textId="046C87F8" w:rsidR="00ED33A2" w:rsidRPr="00CA076C" w:rsidRDefault="00ED33A2" w:rsidP="00ED33A2">
      <w:pPr>
        <w:pStyle w:val="Listenabsatz"/>
        <w:numPr>
          <w:ilvl w:val="0"/>
          <w:numId w:val="9"/>
        </w:numPr>
      </w:pPr>
      <w:r w:rsidRPr="00CA076C">
        <w:t xml:space="preserve">Rechtsnormanalyse: Risiken können sich aus Verträgen, AGBs und Vereinbarungen sowie aus den gesetzesrechtlichen Rahmenbedingungen (EU-Verordnungen, EU-Richtlinien, </w:t>
      </w:r>
      <w:r w:rsidRPr="00CA076C">
        <w:lastRenderedPageBreak/>
        <w:t xml:space="preserve">Bundesgesetze, Bundesverordnungen, Ländergesetze, </w:t>
      </w:r>
      <w:r w:rsidR="00141D6D" w:rsidRPr="00CA076C">
        <w:t>länderspezifische</w:t>
      </w:r>
      <w:r w:rsidRPr="00CA076C">
        <w:t xml:space="preserve"> Verordnungen, aktuelle Rechtsprechung) ergeben</w:t>
      </w:r>
      <w:r w:rsidR="00201C88">
        <w:t>.</w:t>
      </w:r>
      <w:r w:rsidRPr="00CA076C">
        <w:t xml:space="preserve"> </w:t>
      </w:r>
      <w:r w:rsidR="00201C88">
        <w:t>D</w:t>
      </w:r>
      <w:r w:rsidR="00201C88" w:rsidRPr="00CA076C">
        <w:t xml:space="preserve">ie </w:t>
      </w:r>
      <w:r w:rsidRPr="00CA076C">
        <w:t>Quantifizierung richtet sich bei dieser Methode nach dem Strafmaß wie z. B. den Bußgeldern.</w:t>
      </w:r>
    </w:p>
    <w:p w14:paraId="0E6B4B1C" w14:textId="77777777" w:rsidR="00AC1D0D" w:rsidRPr="00CA076C" w:rsidRDefault="00141D6D" w:rsidP="00AC1D0D">
      <w:r w:rsidRPr="00CA076C">
        <w:t>Aufgrund der Tatsache, dass die Risiken der informationstechnischen Daten-Verarbeitung i. d. R. nur abgeschätzt werden können, eignet sich zur Quantifizierung ein Skalenniveau wie bspw.</w:t>
      </w:r>
    </w:p>
    <w:tbl>
      <w:tblPr>
        <w:tblStyle w:val="Tabellenraster"/>
        <w:tblW w:w="0" w:type="auto"/>
        <w:tblInd w:w="250" w:type="dxa"/>
        <w:tblLook w:val="04A0" w:firstRow="1" w:lastRow="0" w:firstColumn="1" w:lastColumn="0" w:noHBand="0" w:noVBand="1"/>
      </w:tblPr>
      <w:tblGrid>
        <w:gridCol w:w="3260"/>
        <w:gridCol w:w="3686"/>
        <w:gridCol w:w="1984"/>
      </w:tblGrid>
      <w:tr w:rsidR="00AC1D0D" w:rsidRPr="00CA076C" w14:paraId="07F89C6F" w14:textId="77777777" w:rsidTr="00FA468A">
        <w:tc>
          <w:tcPr>
            <w:tcW w:w="3260" w:type="dxa"/>
          </w:tcPr>
          <w:p w14:paraId="452D2240" w14:textId="77777777" w:rsidR="00AC1D0D" w:rsidRPr="00CA076C" w:rsidRDefault="00AC1D0D" w:rsidP="00AC1D0D">
            <w:pPr>
              <w:jc w:val="center"/>
            </w:pPr>
            <w:r w:rsidRPr="00CA076C">
              <w:t>Bewertung</w:t>
            </w:r>
          </w:p>
        </w:tc>
        <w:tc>
          <w:tcPr>
            <w:tcW w:w="3686" w:type="dxa"/>
          </w:tcPr>
          <w:p w14:paraId="6F87CA1D" w14:textId="77777777" w:rsidR="00AC1D0D" w:rsidRPr="00CA076C" w:rsidRDefault="00AC1D0D" w:rsidP="00AC1D0D">
            <w:pPr>
              <w:jc w:val="center"/>
            </w:pPr>
            <w:r w:rsidRPr="00CA076C">
              <w:t>Kriterien</w:t>
            </w:r>
          </w:p>
        </w:tc>
        <w:tc>
          <w:tcPr>
            <w:tcW w:w="1984" w:type="dxa"/>
          </w:tcPr>
          <w:p w14:paraId="4761A4B5" w14:textId="77777777" w:rsidR="00AC1D0D" w:rsidRPr="00CA076C" w:rsidRDefault="00AC1D0D" w:rsidP="00AC1D0D">
            <w:pPr>
              <w:jc w:val="center"/>
            </w:pPr>
            <w:r w:rsidRPr="00CA076C">
              <w:t>Geschätzte Kosten</w:t>
            </w:r>
          </w:p>
        </w:tc>
      </w:tr>
      <w:tr w:rsidR="00AC1D0D" w:rsidRPr="00CA076C" w14:paraId="029EA302" w14:textId="77777777" w:rsidTr="00FA468A">
        <w:tc>
          <w:tcPr>
            <w:tcW w:w="3260" w:type="dxa"/>
          </w:tcPr>
          <w:p w14:paraId="6795F848" w14:textId="77777777" w:rsidR="00AC1D0D" w:rsidRPr="00CA076C" w:rsidRDefault="00AC1D0D" w:rsidP="00AC1D0D">
            <w:pPr>
              <w:jc w:val="left"/>
            </w:pPr>
            <w:r w:rsidRPr="00CA076C">
              <w:t>Katastrophal</w:t>
            </w:r>
          </w:p>
        </w:tc>
        <w:tc>
          <w:tcPr>
            <w:tcW w:w="3686" w:type="dxa"/>
          </w:tcPr>
          <w:p w14:paraId="7F62D791" w14:textId="77777777" w:rsidR="00AC1D0D" w:rsidRPr="00CA076C" w:rsidRDefault="00AC1D0D" w:rsidP="00AC1D0D">
            <w:pPr>
              <w:jc w:val="left"/>
            </w:pPr>
            <w:r w:rsidRPr="00CA076C">
              <w:t>Keine Kontrolle möglich</w:t>
            </w:r>
          </w:p>
        </w:tc>
        <w:tc>
          <w:tcPr>
            <w:tcW w:w="1984" w:type="dxa"/>
          </w:tcPr>
          <w:p w14:paraId="0DF4C7B8" w14:textId="77777777" w:rsidR="00AC1D0D" w:rsidRPr="00CA076C" w:rsidRDefault="00AC1D0D" w:rsidP="00AC1D0D">
            <w:pPr>
              <w:jc w:val="right"/>
            </w:pPr>
            <w:r w:rsidRPr="00CA076C">
              <w:t>&gt; 1 Mill. €</w:t>
            </w:r>
          </w:p>
        </w:tc>
      </w:tr>
      <w:tr w:rsidR="00AC1D0D" w:rsidRPr="00CA076C" w14:paraId="3339F406" w14:textId="77777777" w:rsidTr="00FA468A">
        <w:tc>
          <w:tcPr>
            <w:tcW w:w="3260" w:type="dxa"/>
          </w:tcPr>
          <w:p w14:paraId="1AE029F1" w14:textId="77777777" w:rsidR="00AC1D0D" w:rsidRPr="00CA076C" w:rsidRDefault="00AC1D0D" w:rsidP="00AC1D0D">
            <w:pPr>
              <w:jc w:val="left"/>
            </w:pPr>
            <w:r w:rsidRPr="00CA076C">
              <w:t>Kritisch</w:t>
            </w:r>
          </w:p>
        </w:tc>
        <w:tc>
          <w:tcPr>
            <w:tcW w:w="3686" w:type="dxa"/>
          </w:tcPr>
          <w:p w14:paraId="24B5CE75" w14:textId="52A8F17C" w:rsidR="00AC1D0D" w:rsidRPr="00CA076C" w:rsidRDefault="00AC1D0D" w:rsidP="00AC1D0D">
            <w:pPr>
              <w:jc w:val="left"/>
            </w:pPr>
            <w:r w:rsidRPr="00CA076C">
              <w:t>Gravierende Mängel</w:t>
            </w:r>
            <w:r w:rsidR="00201C88">
              <w:t xml:space="preserve"> /</w:t>
            </w:r>
            <w:r w:rsidR="00201C88" w:rsidRPr="00CA076C">
              <w:t xml:space="preserve"> </w:t>
            </w:r>
            <w:r w:rsidRPr="00CA076C">
              <w:t>Schäden</w:t>
            </w:r>
          </w:p>
        </w:tc>
        <w:tc>
          <w:tcPr>
            <w:tcW w:w="1984" w:type="dxa"/>
          </w:tcPr>
          <w:p w14:paraId="6DBE290E" w14:textId="77777777" w:rsidR="00AC1D0D" w:rsidRPr="00CA076C" w:rsidRDefault="00AC1D0D" w:rsidP="00AC1D0D">
            <w:pPr>
              <w:jc w:val="right"/>
            </w:pPr>
            <w:r w:rsidRPr="00CA076C">
              <w:t>≤ 1. Mill. €</w:t>
            </w:r>
          </w:p>
        </w:tc>
      </w:tr>
      <w:tr w:rsidR="00AC1D0D" w:rsidRPr="00CA076C" w14:paraId="20C20DF8" w14:textId="77777777" w:rsidTr="00FA468A">
        <w:tc>
          <w:tcPr>
            <w:tcW w:w="3260" w:type="dxa"/>
          </w:tcPr>
          <w:p w14:paraId="5153606C" w14:textId="77777777" w:rsidR="00AC1D0D" w:rsidRPr="00CA076C" w:rsidRDefault="00AC1D0D" w:rsidP="00AC1D0D">
            <w:pPr>
              <w:jc w:val="left"/>
            </w:pPr>
            <w:r w:rsidRPr="00CA076C">
              <w:t>Mittelmäßige Auswirkungen</w:t>
            </w:r>
          </w:p>
        </w:tc>
        <w:tc>
          <w:tcPr>
            <w:tcW w:w="3686" w:type="dxa"/>
          </w:tcPr>
          <w:p w14:paraId="06A6EBB3" w14:textId="77777777" w:rsidR="00AC1D0D" w:rsidRPr="00CA076C" w:rsidRDefault="00AC1D0D" w:rsidP="00AC1D0D">
            <w:pPr>
              <w:jc w:val="left"/>
            </w:pPr>
            <w:r w:rsidRPr="00CA076C">
              <w:t>Beträchtliche Abweichungen vom Soll</w:t>
            </w:r>
          </w:p>
        </w:tc>
        <w:tc>
          <w:tcPr>
            <w:tcW w:w="1984" w:type="dxa"/>
          </w:tcPr>
          <w:p w14:paraId="4CACEB0C" w14:textId="77777777" w:rsidR="00AC1D0D" w:rsidRPr="00CA076C" w:rsidRDefault="00AC1D0D" w:rsidP="00AC1D0D">
            <w:pPr>
              <w:jc w:val="right"/>
            </w:pPr>
            <w:r w:rsidRPr="00CA076C">
              <w:t>50 – 100.000 €</w:t>
            </w:r>
          </w:p>
        </w:tc>
      </w:tr>
      <w:tr w:rsidR="00AC1D0D" w:rsidRPr="00CA076C" w14:paraId="7E348081" w14:textId="77777777" w:rsidTr="00FA468A">
        <w:tc>
          <w:tcPr>
            <w:tcW w:w="3260" w:type="dxa"/>
          </w:tcPr>
          <w:p w14:paraId="4F9E9811" w14:textId="77777777" w:rsidR="00AC1D0D" w:rsidRPr="00CA076C" w:rsidRDefault="00AC1D0D" w:rsidP="00AC1D0D">
            <w:pPr>
              <w:jc w:val="left"/>
            </w:pPr>
            <w:r w:rsidRPr="00CA076C">
              <w:t>Geringe Auswirkungen</w:t>
            </w:r>
          </w:p>
        </w:tc>
        <w:tc>
          <w:tcPr>
            <w:tcW w:w="3686" w:type="dxa"/>
          </w:tcPr>
          <w:p w14:paraId="123CAE21" w14:textId="77777777" w:rsidR="00AC1D0D" w:rsidRPr="00CA076C" w:rsidRDefault="00AC1D0D" w:rsidP="00AC1D0D">
            <w:pPr>
              <w:jc w:val="left"/>
            </w:pPr>
            <w:r w:rsidRPr="00CA076C">
              <w:t>Geringe Folgen</w:t>
            </w:r>
          </w:p>
        </w:tc>
        <w:tc>
          <w:tcPr>
            <w:tcW w:w="1984" w:type="dxa"/>
          </w:tcPr>
          <w:p w14:paraId="3CF0D552" w14:textId="77777777" w:rsidR="00AC1D0D" w:rsidRPr="00CA076C" w:rsidRDefault="00AC1D0D" w:rsidP="00AC1D0D">
            <w:pPr>
              <w:jc w:val="right"/>
            </w:pPr>
            <w:r w:rsidRPr="00CA076C">
              <w:t>&lt; 50.000 €</w:t>
            </w:r>
          </w:p>
        </w:tc>
      </w:tr>
      <w:tr w:rsidR="00AC1D0D" w:rsidRPr="00CA076C" w14:paraId="48E981BC" w14:textId="77777777" w:rsidTr="00FA468A">
        <w:tc>
          <w:tcPr>
            <w:tcW w:w="3260" w:type="dxa"/>
          </w:tcPr>
          <w:p w14:paraId="3F32CD46" w14:textId="77777777" w:rsidR="00AC1D0D" w:rsidRPr="00CA076C" w:rsidRDefault="00AC1D0D" w:rsidP="00AC1D0D">
            <w:pPr>
              <w:jc w:val="left"/>
            </w:pPr>
            <w:r w:rsidRPr="00CA076C">
              <w:t>Vernachlässigbare Auswirkungen</w:t>
            </w:r>
          </w:p>
        </w:tc>
        <w:tc>
          <w:tcPr>
            <w:tcW w:w="3686" w:type="dxa"/>
          </w:tcPr>
          <w:p w14:paraId="1AF9CC60" w14:textId="77777777" w:rsidR="00AC1D0D" w:rsidRPr="00CA076C" w:rsidRDefault="00AC1D0D" w:rsidP="00AC1D0D">
            <w:pPr>
              <w:jc w:val="left"/>
            </w:pPr>
            <w:r w:rsidRPr="00CA076C">
              <w:t>Unbedeutende Folgen</w:t>
            </w:r>
          </w:p>
        </w:tc>
        <w:tc>
          <w:tcPr>
            <w:tcW w:w="1984" w:type="dxa"/>
          </w:tcPr>
          <w:p w14:paraId="7C223F76" w14:textId="77777777" w:rsidR="00AC1D0D" w:rsidRPr="00CA076C" w:rsidRDefault="00AC1D0D" w:rsidP="00AC1D0D">
            <w:pPr>
              <w:jc w:val="right"/>
            </w:pPr>
            <w:r w:rsidRPr="00CA076C">
              <w:t>Keine</w:t>
            </w:r>
          </w:p>
        </w:tc>
      </w:tr>
    </w:tbl>
    <w:p w14:paraId="4122EA7B" w14:textId="77777777" w:rsidR="00AC1D0D" w:rsidRPr="00CA076C" w:rsidRDefault="00AC1D0D" w:rsidP="00AC1D0D"/>
    <w:p w14:paraId="738A3AB6" w14:textId="77777777" w:rsidR="00DA2B23" w:rsidRPr="00CA076C" w:rsidRDefault="00DA2B23" w:rsidP="00DA2B23">
      <w:pPr>
        <w:pStyle w:val="berschrift3"/>
      </w:pPr>
      <w:bookmarkStart w:id="97" w:name="_Toc503456505"/>
      <w:r w:rsidRPr="00CA076C">
        <w:t>Eintrittswahrscheinlichkeit der Risiken</w:t>
      </w:r>
      <w:bookmarkEnd w:id="97"/>
    </w:p>
    <w:p w14:paraId="18FB43A4" w14:textId="77777777" w:rsidR="009E7014" w:rsidRPr="00CA076C" w:rsidRDefault="009E7014" w:rsidP="009E7014">
      <w:pPr>
        <w:spacing w:after="0"/>
      </w:pPr>
      <w:r w:rsidRPr="00CA076C">
        <w:t>Die Eintrittswahrscheinlichkeit kann wie folgt klassifiziert werden:</w:t>
      </w:r>
    </w:p>
    <w:p w14:paraId="7A5EB73A" w14:textId="77777777" w:rsidR="009E7014" w:rsidRPr="00CA076C" w:rsidRDefault="009E7014" w:rsidP="009E7014">
      <w:pPr>
        <w:tabs>
          <w:tab w:val="left" w:pos="2552"/>
        </w:tabs>
        <w:ind w:left="2552" w:hanging="1843"/>
        <w:contextualSpacing/>
      </w:pPr>
      <w:r w:rsidRPr="00CA076C">
        <w:t>Hoch</w:t>
      </w:r>
      <w:r w:rsidRPr="00CA076C">
        <w:tab/>
        <w:t>Tritt wahrscheinlich auf, oft, häufig</w:t>
      </w:r>
    </w:p>
    <w:p w14:paraId="1EA8254F" w14:textId="77777777" w:rsidR="009E7014" w:rsidRPr="00CA076C" w:rsidRDefault="009E7014" w:rsidP="009E7014">
      <w:pPr>
        <w:tabs>
          <w:tab w:val="left" w:pos="2552"/>
        </w:tabs>
        <w:ind w:left="2552" w:hanging="1843"/>
        <w:contextualSpacing/>
      </w:pPr>
      <w:r w:rsidRPr="00CA076C">
        <w:t>Mittel</w:t>
      </w:r>
      <w:r w:rsidRPr="00CA076C">
        <w:tab/>
        <w:t>Kann auftreten, jedoch nicht häufig</w:t>
      </w:r>
    </w:p>
    <w:p w14:paraId="33ABF748" w14:textId="77777777" w:rsidR="009E7014" w:rsidRPr="00CA076C" w:rsidRDefault="009E7014" w:rsidP="009E7014">
      <w:pPr>
        <w:tabs>
          <w:tab w:val="left" w:pos="2552"/>
        </w:tabs>
        <w:ind w:left="2552" w:hanging="1843"/>
        <w:contextualSpacing/>
      </w:pPr>
      <w:r w:rsidRPr="00CA076C">
        <w:t>Niedrig</w:t>
      </w:r>
      <w:r w:rsidRPr="00CA076C">
        <w:tab/>
        <w:t>Unwahrscheinliches Auftreten, selten, fernliegend</w:t>
      </w:r>
    </w:p>
    <w:p w14:paraId="673A45BE" w14:textId="5D31D102" w:rsidR="00DA2B23" w:rsidRPr="00CA076C" w:rsidRDefault="00FA468A" w:rsidP="00FA468A">
      <w:pPr>
        <w:spacing w:after="0"/>
      </w:pPr>
      <w:r w:rsidRPr="00CA076C">
        <w:t xml:space="preserve">Bei der Berücksichtigung der Frage der Eintrittswahrscheinlichkeit werden zu deren Beantwortung oftmals Erfahrungswerte aus der Vergangenheit herangezogen. Hierbei reicht </w:t>
      </w:r>
      <w:r w:rsidR="00C5624F">
        <w:t xml:space="preserve">ein </w:t>
      </w:r>
      <w:r w:rsidR="002F36AF">
        <w:t xml:space="preserve"> Hinweis</w:t>
      </w:r>
      <w:r w:rsidR="002F36AF" w:rsidRPr="00CA076C">
        <w:t xml:space="preserve"> </w:t>
      </w:r>
      <w:r w:rsidR="00C5624F">
        <w:t xml:space="preserve">wie </w:t>
      </w:r>
      <w:r w:rsidRPr="00CA076C">
        <w:t>„ein derartiges Vorkommnis gab es in der Vergangenheit nicht, daher niedrig“ nicht aus, um den Anforderungen der DS-GVO hinsichtlich der Nachvollziehbarkeit zu genügen. Hier muss immer auch dargestellt werden, was unternommen wurde, um derartige Ereignisse festzustellen. Dazu gehört die Beantwortung von Fragen wie beispielsweise:</w:t>
      </w:r>
    </w:p>
    <w:p w14:paraId="419279E4" w14:textId="77777777" w:rsidR="00FA468A" w:rsidRPr="00CA076C" w:rsidRDefault="00FA468A" w:rsidP="00FA468A">
      <w:pPr>
        <w:pStyle w:val="Listenabsatz"/>
        <w:numPr>
          <w:ilvl w:val="0"/>
          <w:numId w:val="47"/>
        </w:numPr>
      </w:pPr>
      <w:r w:rsidRPr="00CA076C">
        <w:t>Erfolgte eine Klassifizierung der Daten hinsichtlich des Schutzbedarfs?</w:t>
      </w:r>
    </w:p>
    <w:p w14:paraId="2B5B00F0" w14:textId="77777777" w:rsidR="00FA468A" w:rsidRPr="00CA076C" w:rsidRDefault="00FA468A" w:rsidP="00FA468A">
      <w:pPr>
        <w:pStyle w:val="Listenabsatz"/>
        <w:numPr>
          <w:ilvl w:val="0"/>
          <w:numId w:val="47"/>
        </w:numPr>
      </w:pPr>
      <w:r w:rsidRPr="00CA076C">
        <w:t xml:space="preserve">Wurde ein Intrusion </w:t>
      </w:r>
      <w:proofErr w:type="spellStart"/>
      <w:r w:rsidRPr="00CA076C">
        <w:t>Detection</w:t>
      </w:r>
      <w:proofErr w:type="spellEnd"/>
      <w:r w:rsidRPr="00CA076C">
        <w:t xml:space="preserve"> System eingesetzt?</w:t>
      </w:r>
    </w:p>
    <w:p w14:paraId="5D3FBA3F" w14:textId="77777777" w:rsidR="00FA468A" w:rsidRPr="00CA076C" w:rsidRDefault="00FA468A" w:rsidP="00FA468A">
      <w:pPr>
        <w:pStyle w:val="Listenabsatz"/>
      </w:pPr>
      <w:r w:rsidRPr="00CA076C">
        <w:t>Wenn ja:</w:t>
      </w:r>
    </w:p>
    <w:p w14:paraId="70D8F287" w14:textId="77777777" w:rsidR="00FA468A" w:rsidRPr="00CA076C" w:rsidRDefault="00FA468A" w:rsidP="00FA468A">
      <w:pPr>
        <w:pStyle w:val="Listenabsatz"/>
        <w:numPr>
          <w:ilvl w:val="1"/>
          <w:numId w:val="47"/>
        </w:numPr>
      </w:pPr>
      <w:r w:rsidRPr="00CA076C">
        <w:t>Auf welche Ereignisse in Bezug auf die Fragestellung „unbefugte Offenbarung personenbezogener Daten“ reagiert es?</w:t>
      </w:r>
    </w:p>
    <w:p w14:paraId="4DDD179C" w14:textId="77777777" w:rsidR="00FA468A" w:rsidRPr="00CA076C" w:rsidRDefault="00FA468A" w:rsidP="00FA468A">
      <w:pPr>
        <w:pStyle w:val="Listenabsatz"/>
        <w:numPr>
          <w:ilvl w:val="1"/>
          <w:numId w:val="47"/>
        </w:numPr>
      </w:pPr>
      <w:r w:rsidRPr="00CA076C">
        <w:t>Wie sind die Meldewege für entsprechende Vorfälle?</w:t>
      </w:r>
    </w:p>
    <w:p w14:paraId="35DF8B2C" w14:textId="77777777" w:rsidR="00FA468A" w:rsidRPr="00CA076C" w:rsidRDefault="00FA468A" w:rsidP="00FA468A">
      <w:pPr>
        <w:pStyle w:val="Listenabsatz"/>
        <w:numPr>
          <w:ilvl w:val="0"/>
          <w:numId w:val="47"/>
        </w:numPr>
      </w:pPr>
      <w:r w:rsidRPr="00CA076C">
        <w:t>Werden Zugriffe auf personenbezogene Daten protokolliert?</w:t>
      </w:r>
    </w:p>
    <w:p w14:paraId="5BEAE61B" w14:textId="77777777" w:rsidR="00FA468A" w:rsidRPr="00CA076C" w:rsidRDefault="00FA468A" w:rsidP="00FA468A">
      <w:pPr>
        <w:pStyle w:val="Listenabsatz"/>
      </w:pPr>
      <w:r w:rsidRPr="00CA076C">
        <w:t>Wenn ja:</w:t>
      </w:r>
    </w:p>
    <w:p w14:paraId="5D8A92D1" w14:textId="77777777" w:rsidR="00FA468A" w:rsidRPr="00CA076C" w:rsidRDefault="00FA468A" w:rsidP="00FA468A">
      <w:pPr>
        <w:pStyle w:val="Listenabsatz"/>
        <w:numPr>
          <w:ilvl w:val="1"/>
          <w:numId w:val="47"/>
        </w:numPr>
      </w:pPr>
      <w:r w:rsidRPr="00CA076C">
        <w:t>Gibt es ein Protokollierungskonzept?</w:t>
      </w:r>
    </w:p>
    <w:p w14:paraId="282F432E" w14:textId="77777777" w:rsidR="00FA468A" w:rsidRPr="00CA076C" w:rsidRDefault="00FA468A" w:rsidP="00FA468A">
      <w:pPr>
        <w:pStyle w:val="Listenabsatz"/>
        <w:numPr>
          <w:ilvl w:val="1"/>
          <w:numId w:val="47"/>
        </w:numPr>
      </w:pPr>
      <w:r w:rsidRPr="00CA076C">
        <w:t>Wie erfolgt die Protokollierung von Zugriffen auf personenbezogene Daten?</w:t>
      </w:r>
    </w:p>
    <w:p w14:paraId="3830FABA" w14:textId="77777777" w:rsidR="00FA468A" w:rsidRPr="00CA076C" w:rsidRDefault="00FA468A" w:rsidP="00FA468A">
      <w:pPr>
        <w:pStyle w:val="Listenabsatz"/>
        <w:numPr>
          <w:ilvl w:val="1"/>
          <w:numId w:val="47"/>
        </w:numPr>
      </w:pPr>
      <w:r w:rsidRPr="00CA076C">
        <w:t>Erfolgt eine Auswertung der Protokolle? Wenn ja: Welche Ereignisse werden ausgewertet?</w:t>
      </w:r>
    </w:p>
    <w:p w14:paraId="4A0F8231" w14:textId="77777777" w:rsidR="00D938D5" w:rsidRPr="00CA076C" w:rsidRDefault="00D938D5" w:rsidP="00D938D5">
      <w:r w:rsidRPr="00CA076C">
        <w:t>Weiterhin ist zu beachten, dass auch die Verwertbarkeit von entsprechenden Ereignissen in anderen Ländern nur bedingt gegeben ist. Gesundheitsdaten in den USA beinhalten i. d. R. alle Daten, welche kriminelle Personen für einen Identitätsdiebstahl und den damit verbundenen Möglichkeiten z. B. zur Erlangung von Kreditkarten, Führerschein usw. benötigen. Dies ist in Deutschland nicht der Fall, daher ist zwangsläufig die Motivation in den USA eine andere als in Deutschland, die Eintrittswahrscheinlichkeit von dem einen Land auf das andere Land daher eher nicht übertragbar.</w:t>
      </w:r>
    </w:p>
    <w:p w14:paraId="50027CB9" w14:textId="77777777" w:rsidR="00DA2B23" w:rsidRPr="00CA076C" w:rsidRDefault="00DA2B23" w:rsidP="00DA2B23">
      <w:pPr>
        <w:pStyle w:val="berschrift3"/>
      </w:pPr>
      <w:bookmarkStart w:id="98" w:name="_Toc503456506"/>
      <w:r w:rsidRPr="00CA076C">
        <w:lastRenderedPageBreak/>
        <w:t>Größe der Risiken</w:t>
      </w:r>
      <w:bookmarkEnd w:id="98"/>
    </w:p>
    <w:p w14:paraId="0A77A6C4" w14:textId="77777777" w:rsidR="0073395C" w:rsidRPr="00CA076C" w:rsidRDefault="0073395C" w:rsidP="0073395C">
      <w:r w:rsidRPr="00CA076C">
        <w:t>Die DS-GVO gibt nicht an, wann das Risiko einer Verarbeitung „hoch“ ist. Ein Risiko ist zumindest dann als „hoch“ einzustufen, wenn mit „hoher Wahrscheinlichkeit ein Schaden für die Rechte und Freiheiten natürlicher Personen“ anzunehmen ist.</w:t>
      </w:r>
      <w:r w:rsidRPr="00CA076C">
        <w:rPr>
          <w:rStyle w:val="Funotenzeichen"/>
        </w:rPr>
        <w:footnoteReference w:id="18"/>
      </w:r>
      <w:r w:rsidRPr="00CA076C">
        <w:t xml:space="preserve"> Eine hohe Wahrscheinlichkeit kann sowohl aus einer hohen Eintrittswahrscheinlichkeit (des Schadens) als auch aus einem hohen Schaden resultieren. Daneben ergibt sich aus ErwGr. 91, dass insbesondere die Sensibilität der Daten die Wahrscheinlichkeit eines „hohen“ Risikos vermuten lässt.</w:t>
      </w:r>
    </w:p>
    <w:p w14:paraId="2B4573B6" w14:textId="77777777" w:rsidR="0073395C" w:rsidRPr="00CA076C" w:rsidRDefault="0073395C" w:rsidP="00C5624F">
      <w:pPr>
        <w:spacing w:after="0"/>
      </w:pPr>
      <w:r w:rsidRPr="00CA076C">
        <w:t>ErwGr. 75 führt weiter aus, dass von entsprechenden Risiken für die Rechte und Freiheiten natürlicher Personen insbesondere dann auszugehen ist, wenn die Verarbeitung zu</w:t>
      </w:r>
    </w:p>
    <w:p w14:paraId="2274E409" w14:textId="77777777" w:rsidR="0073395C" w:rsidRPr="00CA076C" w:rsidRDefault="0073395C" w:rsidP="0073395C">
      <w:pPr>
        <w:pStyle w:val="Listenabsatz"/>
        <w:numPr>
          <w:ilvl w:val="0"/>
          <w:numId w:val="25"/>
        </w:numPr>
        <w:spacing w:before="40" w:after="80"/>
        <w:jc w:val="left"/>
      </w:pPr>
      <w:r w:rsidRPr="00CA076C">
        <w:t>einer Diskriminierung,</w:t>
      </w:r>
    </w:p>
    <w:p w14:paraId="795CFBB7" w14:textId="77777777" w:rsidR="0073395C" w:rsidRPr="00CA076C" w:rsidRDefault="0073395C" w:rsidP="0073395C">
      <w:pPr>
        <w:pStyle w:val="Listenabsatz"/>
        <w:numPr>
          <w:ilvl w:val="0"/>
          <w:numId w:val="25"/>
        </w:numPr>
        <w:spacing w:before="40" w:after="80"/>
        <w:jc w:val="left"/>
      </w:pPr>
      <w:r w:rsidRPr="00CA076C">
        <w:t>einem Identitätsdiebstahl oder -betrug,</w:t>
      </w:r>
    </w:p>
    <w:p w14:paraId="7F31A27F" w14:textId="77777777" w:rsidR="0073395C" w:rsidRPr="00CA076C" w:rsidRDefault="0073395C" w:rsidP="0073395C">
      <w:pPr>
        <w:pStyle w:val="Listenabsatz"/>
        <w:numPr>
          <w:ilvl w:val="0"/>
          <w:numId w:val="25"/>
        </w:numPr>
        <w:spacing w:before="40" w:after="80"/>
        <w:jc w:val="left"/>
      </w:pPr>
      <w:r w:rsidRPr="00CA076C">
        <w:t>einem finanziellen Verlust,</w:t>
      </w:r>
    </w:p>
    <w:p w14:paraId="2E33EEA1" w14:textId="77777777" w:rsidR="0073395C" w:rsidRPr="00CA076C" w:rsidRDefault="0073395C" w:rsidP="0073395C">
      <w:pPr>
        <w:pStyle w:val="Listenabsatz"/>
        <w:numPr>
          <w:ilvl w:val="0"/>
          <w:numId w:val="25"/>
        </w:numPr>
        <w:spacing w:before="40" w:after="80"/>
        <w:jc w:val="left"/>
      </w:pPr>
      <w:r w:rsidRPr="00CA076C">
        <w:t>einer Rufschädigung,</w:t>
      </w:r>
    </w:p>
    <w:p w14:paraId="19566025" w14:textId="77777777" w:rsidR="0073395C" w:rsidRPr="00CA076C" w:rsidRDefault="0073395C" w:rsidP="0073395C">
      <w:pPr>
        <w:pStyle w:val="Listenabsatz"/>
        <w:numPr>
          <w:ilvl w:val="0"/>
          <w:numId w:val="25"/>
        </w:numPr>
        <w:spacing w:before="40" w:after="80"/>
        <w:jc w:val="left"/>
      </w:pPr>
      <w:r w:rsidRPr="00CA076C">
        <w:t>einem Verlust der Vertraulichkeit von dem Berufsgeheimnis unterliegenden personenbezogenen Daten,</w:t>
      </w:r>
    </w:p>
    <w:p w14:paraId="21B33420" w14:textId="4B6BE9CB" w:rsidR="0073395C" w:rsidRPr="00CA076C" w:rsidRDefault="0073395C" w:rsidP="00C5624F">
      <w:pPr>
        <w:pStyle w:val="Listenabsatz"/>
        <w:numPr>
          <w:ilvl w:val="0"/>
          <w:numId w:val="25"/>
        </w:numPr>
        <w:spacing w:before="40" w:after="80"/>
        <w:jc w:val="left"/>
      </w:pPr>
      <w:r w:rsidRPr="00CA076C">
        <w:t>der unbefugten Aufhebu</w:t>
      </w:r>
      <w:r w:rsidR="00C5624F">
        <w:t>ng der Pseudonymisierung</w:t>
      </w:r>
    </w:p>
    <w:p w14:paraId="72E36A71" w14:textId="461CA628" w:rsidR="00DA2B23" w:rsidRPr="00CA076C" w:rsidRDefault="0073395C" w:rsidP="0073395C">
      <w:r w:rsidRPr="00CA076C">
        <w:t xml:space="preserve">oder anderen erheblichen wirtschaftlichen oder gesellschaftlichen Nachteilen führen kann. Desgleichen, wenn die betroffenen Personen um ihre Rechte und Freiheiten gebracht oder daran gehindert werden, die sie betreffenden personenbezogenen Daten zu kontrollieren. Aber auch, wenn personenbezogene Daten verarbeitet werden, die zu den besonderen Kategorien von Daten entsprechend </w:t>
      </w:r>
      <w:r w:rsidR="00FD56B2" w:rsidRPr="00CA076C">
        <w:t>Art. </w:t>
      </w:r>
      <w:r w:rsidRPr="00CA076C">
        <w:t xml:space="preserve">9 DS-GVO gehören, muss von </w:t>
      </w:r>
      <w:r w:rsidR="00C5624F">
        <w:t>hohen</w:t>
      </w:r>
      <w:r w:rsidRPr="00CA076C">
        <w:t xml:space="preserve"> Risiken ausgegangen werden.</w:t>
      </w:r>
    </w:p>
    <w:p w14:paraId="19776172" w14:textId="77777777" w:rsidR="003167AF" w:rsidRPr="00CA076C" w:rsidRDefault="003167AF" w:rsidP="0073395C">
      <w:r w:rsidRPr="00CA076C">
        <w:t>Bei der Verarbeitung sensibler Daten wie Gesundheitsdaten oder genetischen Daten ist immer von einem hohen Risiko und dementsprechend von einem hohen Schutzbedarf auszugehen.</w:t>
      </w:r>
      <w:r w:rsidRPr="00CA076C">
        <w:rPr>
          <w:rStyle w:val="Funotenzeichen"/>
        </w:rPr>
        <w:footnoteReference w:id="19"/>
      </w:r>
    </w:p>
    <w:p w14:paraId="13E21793" w14:textId="77777777" w:rsidR="00612F3C" w:rsidRPr="00CA076C" w:rsidRDefault="00612F3C" w:rsidP="00612F3C">
      <w:pPr>
        <w:pStyle w:val="berschrift2"/>
      </w:pPr>
      <w:bookmarkStart w:id="99" w:name="_Toc503456507"/>
      <w:r w:rsidRPr="00CA076C">
        <w:t xml:space="preserve">Geeignetheit </w:t>
      </w:r>
      <w:r w:rsidR="00572969" w:rsidRPr="00CA076C">
        <w:t xml:space="preserve">und Angemessenheit </w:t>
      </w:r>
      <w:r w:rsidRPr="00CA076C">
        <w:t>der Schutzmaßnahmen</w:t>
      </w:r>
      <w:bookmarkEnd w:id="99"/>
    </w:p>
    <w:p w14:paraId="63AF2EFA" w14:textId="19D536B4" w:rsidR="00612F3C" w:rsidRPr="00CA076C" w:rsidRDefault="00612F3C" w:rsidP="00612F3C">
      <w:r w:rsidRPr="00CA076C">
        <w:t>Die von Art. 32 D</w:t>
      </w:r>
      <w:r w:rsidR="00060E26" w:rsidRPr="00CA076C">
        <w:t>S</w:t>
      </w:r>
      <w:r w:rsidRPr="00CA076C">
        <w:t>-GVO gefor</w:t>
      </w:r>
      <w:r w:rsidR="00060E26" w:rsidRPr="00CA076C">
        <w:t>d</w:t>
      </w:r>
      <w:r w:rsidRPr="00CA076C">
        <w:t>erte Geeignetheit der technische</w:t>
      </w:r>
      <w:r w:rsidR="00060E26" w:rsidRPr="00CA076C">
        <w:t>n</w:t>
      </w:r>
      <w:r w:rsidRPr="00CA076C">
        <w:t xml:space="preserve"> und organisatorische</w:t>
      </w:r>
      <w:r w:rsidR="00060E26" w:rsidRPr="00CA076C">
        <w:t>n</w:t>
      </w:r>
      <w:r w:rsidRPr="00CA076C">
        <w:t xml:space="preserve"> Maßnahmen</w:t>
      </w:r>
      <w:r w:rsidR="00060E26" w:rsidRPr="00CA076C">
        <w:t xml:space="preserve"> bezieht sich auf die Umsetzung von dessen Zielen, also auf die Gewährleistung der Sicherheit der Verarbeitung als auch der Vorbeugung einer </w:t>
      </w:r>
      <w:r w:rsidR="00F3369E">
        <w:t xml:space="preserve">nicht </w:t>
      </w:r>
      <w:r w:rsidR="00060E26" w:rsidRPr="00CA076C">
        <w:t>den Anforderungen der DS-GVO genügenden Verarbeitung</w:t>
      </w:r>
      <w:r w:rsidR="00060E26" w:rsidRPr="00CA076C">
        <w:rPr>
          <w:rStyle w:val="Funotenzeichen"/>
        </w:rPr>
        <w:footnoteReference w:id="20"/>
      </w:r>
      <w:r w:rsidR="00060E26" w:rsidRPr="00CA076C">
        <w:t>. Die Forderung nach Angemessenheit der Schutzmaßnahmen verweist darauf, dass ein Risiko nicht völlig ausgeschlossen werden kann und dies auch nicht Ziel der Maßnahmen ist</w:t>
      </w:r>
      <w:r w:rsidR="00572969" w:rsidRPr="00CA076C">
        <w:rPr>
          <w:rStyle w:val="Funotenzeichen"/>
        </w:rPr>
        <w:footnoteReference w:id="21"/>
      </w:r>
      <w:r w:rsidR="00060E26" w:rsidRPr="00CA076C">
        <w:t>.</w:t>
      </w:r>
    </w:p>
    <w:p w14:paraId="52AA1F16" w14:textId="77777777" w:rsidR="00585899" w:rsidRPr="00CA076C" w:rsidRDefault="00585899" w:rsidP="00612F3C">
      <w:r w:rsidRPr="00CA076C">
        <w:t>Bzgl. der Beurteilung der Angemessenheit des Schutzniveaus muss entsprechend ErwGr. 83 insbesondere berücksichtigt werden, ob ein Sicherheitsproblem zu einem „physischen, materiellen oder immateriellen Schaden“ führen kann. Beispiele hierzu werden in ErwGr. 75 genannt (siehe auch</w:t>
      </w:r>
      <w:r w:rsidR="00075524" w:rsidRPr="00CA076C">
        <w:t xml:space="preserve"> Kapitel </w:t>
      </w:r>
      <w:r w:rsidR="00075524" w:rsidRPr="00CA076C">
        <w:fldChar w:fldCharType="begin"/>
      </w:r>
      <w:r w:rsidR="00075524" w:rsidRPr="00CA076C">
        <w:instrText xml:space="preserve"> REF _Ref492369624 \r \h </w:instrText>
      </w:r>
      <w:r w:rsidR="00075524" w:rsidRPr="00CA076C">
        <w:fldChar w:fldCharType="separate"/>
      </w:r>
      <w:r w:rsidR="001D39C0" w:rsidRPr="00CA076C">
        <w:t>3.4.1</w:t>
      </w:r>
      <w:r w:rsidR="00075524" w:rsidRPr="00CA076C">
        <w:fldChar w:fldCharType="end"/>
      </w:r>
      <w:r w:rsidR="00075524" w:rsidRPr="00CA076C">
        <w:t xml:space="preserve">). Letztlich ist eine umfassende Interessenabwägung erforderlich, wobei die Abwägung </w:t>
      </w:r>
      <w:r w:rsidR="00075524" w:rsidRPr="00CA076C">
        <w:lastRenderedPageBreak/>
        <w:t>gemäß ErwGr. 76 objektiv zu erfolgen hat</w:t>
      </w:r>
      <w:bookmarkStart w:id="100" w:name="_Ref492371991"/>
      <w:r w:rsidR="00075524" w:rsidRPr="00CA076C">
        <w:rPr>
          <w:rStyle w:val="Funotenzeichen"/>
        </w:rPr>
        <w:footnoteReference w:id="22"/>
      </w:r>
      <w:bookmarkEnd w:id="100"/>
      <w:r w:rsidR="00075524" w:rsidRPr="00CA076C">
        <w:t xml:space="preserve">. </w:t>
      </w:r>
      <w:r w:rsidR="00527B4C" w:rsidRPr="00CA076C">
        <w:t xml:space="preserve">Damit verbunden ist insbesondere, dass </w:t>
      </w:r>
      <w:r w:rsidR="00572969" w:rsidRPr="00CA076C">
        <w:t>individuelle</w:t>
      </w:r>
      <w:r w:rsidR="00527B4C" w:rsidRPr="00CA076C">
        <w:t>, nur auf einzelne Personen zutreffende Sachverhalte, ggf. nicht berücksichtigt werden (müssen), wenn diese die Mehrzahl der von der Verarbeitung betroffenen Personen nicht betreffen</w:t>
      </w:r>
      <w:r w:rsidR="00527B4C" w:rsidRPr="00CA076C">
        <w:rPr>
          <w:vertAlign w:val="superscript"/>
        </w:rPr>
        <w:fldChar w:fldCharType="begin"/>
      </w:r>
      <w:r w:rsidR="00527B4C" w:rsidRPr="00CA076C">
        <w:rPr>
          <w:vertAlign w:val="superscript"/>
        </w:rPr>
        <w:instrText xml:space="preserve"> NOTEREF _Ref492371991 \h  \* MERGEFORMAT </w:instrText>
      </w:r>
      <w:r w:rsidR="00527B4C" w:rsidRPr="00CA076C">
        <w:rPr>
          <w:vertAlign w:val="superscript"/>
        </w:rPr>
      </w:r>
      <w:r w:rsidR="00527B4C" w:rsidRPr="00CA076C">
        <w:rPr>
          <w:vertAlign w:val="superscript"/>
        </w:rPr>
        <w:fldChar w:fldCharType="separate"/>
      </w:r>
      <w:r w:rsidR="001D39C0" w:rsidRPr="00CA076C">
        <w:rPr>
          <w:vertAlign w:val="superscript"/>
        </w:rPr>
        <w:t>22</w:t>
      </w:r>
      <w:r w:rsidR="00527B4C" w:rsidRPr="00CA076C">
        <w:rPr>
          <w:vertAlign w:val="superscript"/>
        </w:rPr>
        <w:fldChar w:fldCharType="end"/>
      </w:r>
      <w:r w:rsidR="00527B4C" w:rsidRPr="00CA076C">
        <w:t>.</w:t>
      </w:r>
    </w:p>
    <w:p w14:paraId="637768E8" w14:textId="77777777" w:rsidR="00EE2B0D" w:rsidRPr="00CA076C" w:rsidRDefault="00EE2B0D" w:rsidP="00EE2B0D">
      <w:r w:rsidRPr="00CA076C">
        <w:t>In den Ingenieurswissenschaften ist die „Fehlermöglichkeits- und –</w:t>
      </w:r>
      <w:proofErr w:type="spellStart"/>
      <w:r w:rsidRPr="00CA076C">
        <w:t>einflussanalyse</w:t>
      </w:r>
      <w:proofErr w:type="spellEnd"/>
      <w:r w:rsidRPr="00CA076C">
        <w:t>“ („</w:t>
      </w:r>
      <w:proofErr w:type="spellStart"/>
      <w:r w:rsidRPr="00CA076C">
        <w:t>Failure</w:t>
      </w:r>
      <w:proofErr w:type="spellEnd"/>
      <w:r w:rsidRPr="00CA076C">
        <w:t xml:space="preserve"> Mode </w:t>
      </w:r>
      <w:proofErr w:type="spellStart"/>
      <w:r w:rsidRPr="00CA076C">
        <w:t>and</w:t>
      </w:r>
      <w:proofErr w:type="spellEnd"/>
      <w:r w:rsidRPr="00CA076C">
        <w:t xml:space="preserve"> </w:t>
      </w:r>
      <w:proofErr w:type="spellStart"/>
      <w:r w:rsidRPr="00CA076C">
        <w:t>Effects</w:t>
      </w:r>
      <w:proofErr w:type="spellEnd"/>
      <w:r w:rsidRPr="00CA076C">
        <w:t xml:space="preserve"> Analysis, FMEA)</w:t>
      </w:r>
      <w:r w:rsidR="00337818" w:rsidRPr="00CA076C">
        <w:rPr>
          <w:rStyle w:val="Funotenzeichen"/>
        </w:rPr>
        <w:footnoteReference w:id="23"/>
      </w:r>
      <w:r w:rsidRPr="00CA076C">
        <w:t xml:space="preserve"> eine anerkannte analytische Methode um Fehler, deren Auftretens- und Entdeckungswahrscheinlichkeit sowie deren Beeinflussbarkeit nachvollziehbar darzustellen. Eine FMEA zielt darauf, Fehler von vornherein zu vermeiden, statt sie nachträglich zu entdecken und zu korrigieren. Damit entspricht sie dem risiko-orientierten Ansatz der DS-GVO.</w:t>
      </w:r>
    </w:p>
    <w:p w14:paraId="770064EB" w14:textId="62825367" w:rsidR="00572969" w:rsidRPr="00CA076C" w:rsidRDefault="00572969" w:rsidP="00612F3C">
      <w:r w:rsidRPr="00CA076C">
        <w:t xml:space="preserve">Sofern eine entsprechend Art. 35 DS-GVO durchgeführte Datenschutz-Folgenabschätzung vorhanden ist, bietet deren </w:t>
      </w:r>
      <w:proofErr w:type="spellStart"/>
      <w:r w:rsidRPr="00CA076C">
        <w:t>Ergebniss</w:t>
      </w:r>
      <w:proofErr w:type="spellEnd"/>
      <w:r w:rsidRPr="00CA076C">
        <w:t xml:space="preserve"> </w:t>
      </w:r>
      <w:r w:rsidR="00337818" w:rsidRPr="00CA076C">
        <w:t xml:space="preserve">natürlich </w:t>
      </w:r>
      <w:r w:rsidRPr="00CA076C">
        <w:t xml:space="preserve">eine </w:t>
      </w:r>
      <w:r w:rsidR="00337818" w:rsidRPr="00CA076C">
        <w:t xml:space="preserve">sehr </w:t>
      </w:r>
      <w:r w:rsidRPr="00CA076C">
        <w:t>gute Ausgangslage zur Beurteilung der Angemessenheit des Schutzniveaus. Im Umkehrschluss empfiehlt sich die Durchführung einer Datenschutz-Folgenabschätzung, wenn sich der Verantwortliche bzgl. der Angemessenheit des Schutzniveaus nicht sicher ist.</w:t>
      </w:r>
    </w:p>
    <w:p w14:paraId="652C8700" w14:textId="3CC67AAC" w:rsidR="00595B09" w:rsidRPr="00CA076C" w:rsidRDefault="00595B09" w:rsidP="00612F3C">
      <w:r w:rsidRPr="00CA076C">
        <w:t>Grundsätzlich ist zu beachten, dass Art. 32 DS-GVO nicht die Einhaltung des Stands der Technik verlangt, sondern deren Berücksichtigung bei der Beurteilung der An</w:t>
      </w:r>
      <w:r w:rsidR="006A5EFB" w:rsidRPr="00CA076C">
        <w:t>gemessenheit der getroffenen Sc</w:t>
      </w:r>
      <w:r w:rsidRPr="00CA076C">
        <w:t>hutzmaßnahmen.</w:t>
      </w:r>
    </w:p>
    <w:p w14:paraId="7844001C" w14:textId="77777777" w:rsidR="00017132" w:rsidRPr="00CA076C" w:rsidRDefault="00017132" w:rsidP="00017132">
      <w:pPr>
        <w:pStyle w:val="berschrift1"/>
      </w:pPr>
      <w:bookmarkStart w:id="101" w:name="_Toc503456508"/>
      <w:r w:rsidRPr="00CA076C">
        <w:t>Anforderungen bzgl. Sicherheit der Verarbeitung</w:t>
      </w:r>
      <w:bookmarkEnd w:id="101"/>
    </w:p>
    <w:p w14:paraId="63C52EB3" w14:textId="77777777" w:rsidR="00017132" w:rsidRPr="00CA076C" w:rsidRDefault="00017132" w:rsidP="00017132">
      <w:pPr>
        <w:pStyle w:val="berschrift2"/>
      </w:pPr>
      <w:bookmarkStart w:id="102" w:name="_Toc503456509"/>
      <w:r w:rsidRPr="00CA076C">
        <w:t>Pseudonymisierung</w:t>
      </w:r>
      <w:bookmarkEnd w:id="102"/>
    </w:p>
    <w:p w14:paraId="1E9D8509" w14:textId="77777777" w:rsidR="00017132" w:rsidRPr="00CA076C" w:rsidRDefault="0056012D" w:rsidP="0056012D">
      <w:pPr>
        <w:pStyle w:val="berschrift3"/>
      </w:pPr>
      <w:bookmarkStart w:id="103" w:name="_Toc503456510"/>
      <w:r w:rsidRPr="00CA076C">
        <w:t>Was bedeutet Pseudonym?</w:t>
      </w:r>
      <w:bookmarkEnd w:id="103"/>
    </w:p>
    <w:p w14:paraId="1C05755A" w14:textId="77777777" w:rsidR="00F74306" w:rsidRPr="00CA076C" w:rsidRDefault="00FD56B2" w:rsidP="00F74306">
      <w:pPr>
        <w:spacing w:after="0"/>
      </w:pPr>
      <w:r w:rsidRPr="00CA076C">
        <w:t>Art. </w:t>
      </w:r>
      <w:r w:rsidR="00F74306" w:rsidRPr="00CA076C">
        <w:t xml:space="preserve">4 </w:t>
      </w:r>
      <w:r w:rsidRPr="00CA076C">
        <w:t>Abs. </w:t>
      </w:r>
      <w:r w:rsidR="00F74306" w:rsidRPr="00CA076C">
        <w:t xml:space="preserve">5 definiert Pseudonymisierung als „die Verarbeitung personenbezogener Daten in einer Weise, dass </w:t>
      </w:r>
    </w:p>
    <w:p w14:paraId="1873B153" w14:textId="77777777" w:rsidR="00F74306" w:rsidRPr="00CA076C" w:rsidRDefault="00F74306" w:rsidP="00F74306">
      <w:pPr>
        <w:pStyle w:val="Listenabsatz"/>
        <w:numPr>
          <w:ilvl w:val="0"/>
          <w:numId w:val="23"/>
        </w:numPr>
        <w:spacing w:before="40" w:after="80"/>
        <w:jc w:val="left"/>
      </w:pPr>
      <w:r w:rsidRPr="00CA076C">
        <w:t xml:space="preserve">die personenbezogenen </w:t>
      </w:r>
      <w:r w:rsidRPr="00CA076C">
        <w:rPr>
          <w:i/>
        </w:rPr>
        <w:t>Daten ohne Hinzuziehung zusätzlicher Informationen</w:t>
      </w:r>
      <w:r w:rsidRPr="00CA076C">
        <w:t xml:space="preserve"> </w:t>
      </w:r>
      <w:r w:rsidRPr="00CA076C">
        <w:rPr>
          <w:b/>
        </w:rPr>
        <w:t>nicht mehr einer spezifischen betroffenen Person zugeordnet werden können</w:t>
      </w:r>
      <w:r w:rsidRPr="00CA076C">
        <w:t>,</w:t>
      </w:r>
    </w:p>
    <w:p w14:paraId="29667666" w14:textId="77777777" w:rsidR="00F74306" w:rsidRPr="00CA076C" w:rsidRDefault="00F74306" w:rsidP="00F74306">
      <w:pPr>
        <w:pStyle w:val="Listenabsatz"/>
        <w:numPr>
          <w:ilvl w:val="0"/>
          <w:numId w:val="23"/>
        </w:numPr>
        <w:spacing w:before="40" w:after="80"/>
        <w:jc w:val="left"/>
      </w:pPr>
      <w:r w:rsidRPr="00CA076C">
        <w:t>sofern diese zusätzlichen Informationen gesondert aufbewahrt werden</w:t>
      </w:r>
    </w:p>
    <w:p w14:paraId="5AD8F833" w14:textId="77777777" w:rsidR="00F74306" w:rsidRPr="00CA076C" w:rsidRDefault="00F74306" w:rsidP="00F74306">
      <w:pPr>
        <w:pStyle w:val="Listenabsatz"/>
        <w:numPr>
          <w:ilvl w:val="0"/>
          <w:numId w:val="23"/>
        </w:numPr>
        <w:spacing w:before="40" w:after="80"/>
        <w:jc w:val="left"/>
      </w:pPr>
      <w:r w:rsidRPr="00CA076C">
        <w:t>und technischen und organisatorischen Maßnahmen unterliegen,</w:t>
      </w:r>
    </w:p>
    <w:p w14:paraId="50B6B1DD" w14:textId="77777777" w:rsidR="00F74306" w:rsidRPr="00CA076C" w:rsidRDefault="00F74306" w:rsidP="00F74306">
      <w:pPr>
        <w:pStyle w:val="Listenabsatz"/>
        <w:numPr>
          <w:ilvl w:val="0"/>
          <w:numId w:val="23"/>
        </w:numPr>
        <w:spacing w:before="40" w:after="80"/>
        <w:jc w:val="left"/>
      </w:pPr>
      <w:r w:rsidRPr="00CA076C">
        <w:t>die gewährleisten, dass die personenbezogenen Daten nicht einer identifizierten oder identifizierbaren natürlichen Person zugewiesen werden“.</w:t>
      </w:r>
    </w:p>
    <w:p w14:paraId="0BD2565C" w14:textId="77777777" w:rsidR="00F74306" w:rsidRPr="00CA076C" w:rsidRDefault="00F74306" w:rsidP="00F74306">
      <w:pPr>
        <w:spacing w:after="0"/>
      </w:pPr>
      <w:r w:rsidRPr="00CA076C">
        <w:t>Aus der in der DS-GVO enthaltenen Begriffsbestimmung lassen sich somit verschiedene implizit enthaltene Feststellungen ableiten:</w:t>
      </w:r>
    </w:p>
    <w:p w14:paraId="1F47D08E" w14:textId="77777777" w:rsidR="00F74306" w:rsidRPr="00CA076C" w:rsidRDefault="00F74306" w:rsidP="00F74306">
      <w:pPr>
        <w:pStyle w:val="Listenabsatz"/>
        <w:numPr>
          <w:ilvl w:val="0"/>
          <w:numId w:val="24"/>
        </w:numPr>
        <w:spacing w:before="40" w:after="80"/>
        <w:jc w:val="left"/>
      </w:pPr>
      <w:r w:rsidRPr="00CA076C">
        <w:t xml:space="preserve">Pseudonyme Daten stellen gemäß </w:t>
      </w:r>
      <w:r w:rsidR="00FD56B2" w:rsidRPr="00CA076C">
        <w:t>Art. </w:t>
      </w:r>
      <w:r w:rsidRPr="00CA076C">
        <w:t xml:space="preserve">4 </w:t>
      </w:r>
      <w:r w:rsidR="00FD56B2" w:rsidRPr="00CA076C">
        <w:t>Abs. </w:t>
      </w:r>
      <w:r w:rsidRPr="00CA076C">
        <w:t>1 personenbezogene oder personenbeziehbare Daten dar, da eine grundsätzliche Möglichkeit zur Identifikation der Person besteht.</w:t>
      </w:r>
    </w:p>
    <w:p w14:paraId="211895DB" w14:textId="77777777" w:rsidR="00F74306" w:rsidRPr="00CA076C" w:rsidRDefault="00F74306" w:rsidP="00F74306">
      <w:pPr>
        <w:pStyle w:val="Listenabsatz"/>
        <w:numPr>
          <w:ilvl w:val="0"/>
          <w:numId w:val="24"/>
        </w:numPr>
        <w:spacing w:before="40" w:after="80"/>
        <w:jc w:val="left"/>
      </w:pPr>
      <w:r w:rsidRPr="00CA076C">
        <w:lastRenderedPageBreak/>
        <w:t xml:space="preserve">Der Vorgang der Pseudonymisierung stellt eine Verarbeitung im Sinne von </w:t>
      </w:r>
      <w:r w:rsidR="00FD56B2" w:rsidRPr="00CA076C">
        <w:t>Art. </w:t>
      </w:r>
      <w:r w:rsidRPr="00CA076C">
        <w:t xml:space="preserve">4 </w:t>
      </w:r>
      <w:r w:rsidR="00FD56B2" w:rsidRPr="00CA076C">
        <w:t>Abs. </w:t>
      </w:r>
      <w:r w:rsidRPr="00CA076C">
        <w:t xml:space="preserve">2 dar, somit gelten für eine Pseudonymisierung alle Vorgaben bzgl. der Verarbeitung, insbesondere die Vorgaben von </w:t>
      </w:r>
      <w:r w:rsidR="00FD56B2" w:rsidRPr="00CA076C">
        <w:t>Art. </w:t>
      </w:r>
      <w:r w:rsidRPr="00CA076C">
        <w:t xml:space="preserve">5 und </w:t>
      </w:r>
      <w:r w:rsidR="00FD56B2" w:rsidRPr="00CA076C">
        <w:t>Art. </w:t>
      </w:r>
      <w:r w:rsidRPr="00CA076C">
        <w:t xml:space="preserve">6 bzw. </w:t>
      </w:r>
      <w:r w:rsidR="00FD56B2" w:rsidRPr="00CA076C">
        <w:t>Art. </w:t>
      </w:r>
      <w:r w:rsidRPr="00CA076C">
        <w:t xml:space="preserve">9. D. h. auch bei einer Pseudonymisierung der Daten muss immer die Rechtmäßigkeit der Verarbeitung gewährleistet sein. Insbesondere muss bei der Verarbeitung besonderer Kategorien personenbezogener Daten gemäß </w:t>
      </w:r>
      <w:r w:rsidR="00FD56B2" w:rsidRPr="00CA076C">
        <w:t>Art. </w:t>
      </w:r>
      <w:r w:rsidRPr="00CA076C">
        <w:t>9 ein Erlaubnistatbestand zur Pseudonymisierung vorhanden sein.</w:t>
      </w:r>
    </w:p>
    <w:p w14:paraId="4739A3DC" w14:textId="255CF3AD" w:rsidR="00F74306" w:rsidRPr="00CA076C" w:rsidRDefault="00F74306" w:rsidP="00F74306">
      <w:pPr>
        <w:pStyle w:val="Listenabsatz"/>
        <w:numPr>
          <w:ilvl w:val="0"/>
          <w:numId w:val="24"/>
        </w:numPr>
        <w:spacing w:before="40" w:after="80"/>
        <w:jc w:val="left"/>
      </w:pPr>
      <w:r w:rsidRPr="00CA076C">
        <w:t xml:space="preserve">Pseudonyme Daten gelten nur dann als pseudonym, wenn der die Daten Verarbeitende keine Möglichkeit hat, die Zuordnungsvorschrift zwischen Pseudonym und Personenkennung zu erhalten und eine „De-Pseudonymisierung“ mittels dieser Liste </w:t>
      </w:r>
      <w:r w:rsidR="002F23A4">
        <w:t>vornehmen kann</w:t>
      </w:r>
      <w:r w:rsidRPr="00CA076C">
        <w:t>.</w:t>
      </w:r>
    </w:p>
    <w:p w14:paraId="09501CB2" w14:textId="77777777" w:rsidR="0056012D" w:rsidRPr="00CA076C" w:rsidRDefault="0056012D" w:rsidP="00017132">
      <w:r w:rsidRPr="00CA076C">
        <w:t>Pseudonymisierte Daten sind nicht mit anonymisierten Daten gleichzusetzen</w:t>
      </w:r>
      <w:r w:rsidRPr="00CA076C">
        <w:rPr>
          <w:rStyle w:val="Funotenzeichen"/>
        </w:rPr>
        <w:footnoteReference w:id="24"/>
      </w:r>
      <w:r w:rsidRPr="00CA076C">
        <w:t>. D. h., dass für pseudonymisierte Daten alle Anforderungen der DS-GVO gelten. Pseudonymisierung verringert lediglich die Verknüpfbarkeit eines Datenbestands mit der wahren Identität einer betroffenen Person. Somit stellt eine Pseudonymisierung eine sinnvolle Sicherheitsmaßnahme dar.</w:t>
      </w:r>
    </w:p>
    <w:p w14:paraId="6169901C" w14:textId="77777777" w:rsidR="00D2731D" w:rsidRPr="00CA076C" w:rsidRDefault="00D2731D" w:rsidP="0056012D">
      <w:pPr>
        <w:pStyle w:val="berschrift3"/>
      </w:pPr>
      <w:bookmarkStart w:id="104" w:name="_Toc503456511"/>
      <w:r w:rsidRPr="00CA076C">
        <w:t>Arten von Pseudonymen</w:t>
      </w:r>
      <w:bookmarkEnd w:id="104"/>
    </w:p>
    <w:p w14:paraId="29CA6BE6" w14:textId="77777777" w:rsidR="00D2731D" w:rsidRPr="00CA076C" w:rsidRDefault="00B0441B" w:rsidP="00B708F7">
      <w:pPr>
        <w:spacing w:after="0"/>
      </w:pPr>
      <w:r w:rsidRPr="00CA076C">
        <w:t>Es gibt verschiedene Arten von Pseudonymen. Grundsätzlich werden Personen- und Rollenpseudonyme unterschieden:</w:t>
      </w:r>
    </w:p>
    <w:p w14:paraId="559A1558" w14:textId="77777777" w:rsidR="00B0441B" w:rsidRPr="00CA076C" w:rsidRDefault="00B0441B" w:rsidP="00B0441B">
      <w:pPr>
        <w:pStyle w:val="Listenabsatz"/>
        <w:numPr>
          <w:ilvl w:val="0"/>
          <w:numId w:val="19"/>
        </w:numPr>
      </w:pPr>
      <w:r w:rsidRPr="00CA076C">
        <w:t>Personenpseudonyme</w:t>
      </w:r>
    </w:p>
    <w:p w14:paraId="1331B30E" w14:textId="23A0512A" w:rsidR="00B0441B" w:rsidRPr="00CA076C" w:rsidRDefault="00B0441B" w:rsidP="00B0441B">
      <w:pPr>
        <w:pStyle w:val="Listenabsatz"/>
        <w:numPr>
          <w:ilvl w:val="1"/>
          <w:numId w:val="19"/>
        </w:numPr>
      </w:pPr>
      <w:r w:rsidRPr="00CA076C">
        <w:t>Öffentliches Personenpseudonym wie z. B. eine einer natürlichen Person zugewiesene Telefonnummer</w:t>
      </w:r>
    </w:p>
    <w:p w14:paraId="74AECAA4" w14:textId="58566D75" w:rsidR="00B0441B" w:rsidRPr="00CA076C" w:rsidRDefault="00B0441B" w:rsidP="00B0441B">
      <w:pPr>
        <w:pStyle w:val="Listenabsatz"/>
        <w:numPr>
          <w:ilvl w:val="1"/>
          <w:numId w:val="19"/>
        </w:numPr>
      </w:pPr>
      <w:r w:rsidRPr="00CA076C">
        <w:t>Nichtöffentliches Personenpseudonym wie z. b. die Nummer eines Kontos bei einer Bank</w:t>
      </w:r>
    </w:p>
    <w:p w14:paraId="70A0FC5F" w14:textId="06B1F9FF" w:rsidR="00B0441B" w:rsidRPr="00CA076C" w:rsidRDefault="00B0441B" w:rsidP="00B0441B">
      <w:pPr>
        <w:pStyle w:val="Listenabsatz"/>
        <w:numPr>
          <w:ilvl w:val="1"/>
          <w:numId w:val="19"/>
        </w:numPr>
      </w:pPr>
      <w:r w:rsidRPr="00CA076C">
        <w:t>Anonymes Personenpseudonym, wie es z. B. das eigene Genom darstellt</w:t>
      </w:r>
    </w:p>
    <w:p w14:paraId="6AFEC005" w14:textId="77777777" w:rsidR="00B0441B" w:rsidRPr="00CA076C" w:rsidRDefault="00B0441B" w:rsidP="00B0441B">
      <w:pPr>
        <w:pStyle w:val="Listenabsatz"/>
        <w:numPr>
          <w:ilvl w:val="0"/>
          <w:numId w:val="19"/>
        </w:numPr>
      </w:pPr>
      <w:r w:rsidRPr="00CA076C">
        <w:t>Rollenpseudonyme</w:t>
      </w:r>
    </w:p>
    <w:p w14:paraId="4A19753B" w14:textId="74D072F7" w:rsidR="00B0441B" w:rsidRPr="00CA076C" w:rsidRDefault="00B0441B" w:rsidP="00B0441B">
      <w:pPr>
        <w:pStyle w:val="Listenabsatz"/>
        <w:numPr>
          <w:ilvl w:val="1"/>
          <w:numId w:val="19"/>
        </w:numPr>
      </w:pPr>
      <w:r w:rsidRPr="00CA076C">
        <w:t>Geschäftsbeziehungspseudonym, dies kann z. B. ein Chat-Name sein</w:t>
      </w:r>
    </w:p>
    <w:p w14:paraId="4DB32430" w14:textId="122E40BF" w:rsidR="00B0441B" w:rsidRPr="00CA076C" w:rsidRDefault="00B0441B" w:rsidP="00B0441B">
      <w:pPr>
        <w:pStyle w:val="Listenabsatz"/>
        <w:numPr>
          <w:ilvl w:val="1"/>
          <w:numId w:val="19"/>
        </w:numPr>
      </w:pPr>
      <w:r w:rsidRPr="00CA076C">
        <w:t>Transaktionspseudonym wie beispielsweise eine PIN oder eine TAN, wie sie für Bankgeschäfte verwendet werden</w:t>
      </w:r>
      <w:r w:rsidR="00F3369E">
        <w:t>.</w:t>
      </w:r>
    </w:p>
    <w:p w14:paraId="6C80116A" w14:textId="77777777" w:rsidR="00B708F7" w:rsidRPr="00CA076C" w:rsidRDefault="00B708F7" w:rsidP="00B708F7">
      <w:pPr>
        <w:spacing w:after="0"/>
      </w:pPr>
      <w:r w:rsidRPr="00CA076C">
        <w:t xml:space="preserve">Weiterhin </w:t>
      </w:r>
      <w:r w:rsidR="00141D6D" w:rsidRPr="00CA076C">
        <w:t>können</w:t>
      </w:r>
      <w:r w:rsidRPr="00CA076C">
        <w:t xml:space="preserve"> Pseudonyme entsprechend dem Inhaber der Zuordnungsregel gruppier</w:t>
      </w:r>
      <w:r w:rsidR="00141D6D" w:rsidRPr="00CA076C">
        <w:t>t werd</w:t>
      </w:r>
      <w:r w:rsidRPr="00CA076C">
        <w:t>en:</w:t>
      </w:r>
    </w:p>
    <w:p w14:paraId="0828F065" w14:textId="77777777" w:rsidR="00B708F7" w:rsidRPr="00CA076C" w:rsidRDefault="00B708F7" w:rsidP="00B708F7">
      <w:pPr>
        <w:pStyle w:val="Listenabsatz"/>
        <w:numPr>
          <w:ilvl w:val="0"/>
          <w:numId w:val="20"/>
        </w:numPr>
      </w:pPr>
      <w:r w:rsidRPr="00CA076C">
        <w:t xml:space="preserve">Pseudonyme werden ausschließlich vom Betroffenen selbst vergeben, wie </w:t>
      </w:r>
      <w:r w:rsidR="00552F0C" w:rsidRPr="00CA076C">
        <w:t>z. B.</w:t>
      </w:r>
      <w:r w:rsidRPr="00CA076C">
        <w:t xml:space="preserve"> der </w:t>
      </w:r>
      <w:proofErr w:type="spellStart"/>
      <w:r w:rsidRPr="00CA076C">
        <w:t>Nickname</w:t>
      </w:r>
      <w:proofErr w:type="spellEnd"/>
      <w:r w:rsidRPr="00CA076C">
        <w:t xml:space="preserve"> im Chat.</w:t>
      </w:r>
    </w:p>
    <w:p w14:paraId="259B00ED" w14:textId="77FAB99C" w:rsidR="00B708F7" w:rsidRPr="00CA076C" w:rsidRDefault="00B708F7" w:rsidP="00B708F7">
      <w:pPr>
        <w:pStyle w:val="Listenabsatz"/>
        <w:numPr>
          <w:ilvl w:val="0"/>
          <w:numId w:val="20"/>
        </w:numPr>
      </w:pPr>
      <w:r w:rsidRPr="00CA076C">
        <w:t>Pseudonyme werden von einem vertrauenswürdigen Dritten vergeben</w:t>
      </w:r>
      <w:r w:rsidR="008618B9">
        <w:t>.</w:t>
      </w:r>
      <w:r w:rsidRPr="00CA076C">
        <w:t xml:space="preserve"> </w:t>
      </w:r>
      <w:r w:rsidR="008618B9">
        <w:t>D</w:t>
      </w:r>
      <w:r w:rsidR="008618B9" w:rsidRPr="00CA076C">
        <w:t xml:space="preserve">ies </w:t>
      </w:r>
      <w:r w:rsidRPr="00CA076C">
        <w:t xml:space="preserve">geschieht beispielsweise durch eine </w:t>
      </w:r>
      <w:proofErr w:type="spellStart"/>
      <w:r w:rsidRPr="00CA076C">
        <w:t>Thrusted</w:t>
      </w:r>
      <w:proofErr w:type="spellEnd"/>
      <w:r w:rsidRPr="00CA076C">
        <w:t>-Third-Party in medizinischen Forschungsnetzen.</w:t>
      </w:r>
    </w:p>
    <w:p w14:paraId="467F3A58" w14:textId="77777777" w:rsidR="00B708F7" w:rsidRPr="00CA076C" w:rsidRDefault="00B708F7" w:rsidP="00B708F7">
      <w:pPr>
        <w:pStyle w:val="Listenabsatz"/>
        <w:numPr>
          <w:ilvl w:val="0"/>
          <w:numId w:val="20"/>
        </w:numPr>
      </w:pPr>
      <w:r w:rsidRPr="00CA076C">
        <w:t>Der ursprüngliche Dateiverwender vergibt das Pseudonym, hierzu wäre ein Beispiel die Vergabe einer IP-Adresse durch den Provider.</w:t>
      </w:r>
    </w:p>
    <w:p w14:paraId="19EE2F4B" w14:textId="77777777" w:rsidR="00B708F7" w:rsidRPr="00CA076C" w:rsidRDefault="00B708F7" w:rsidP="00B708F7">
      <w:pPr>
        <w:spacing w:after="0"/>
      </w:pPr>
      <w:r w:rsidRPr="00CA076C">
        <w:t>Ferner können Pseudonyme an Hand ihrer Erzeugungsart eingeteilt werden:</w:t>
      </w:r>
    </w:p>
    <w:p w14:paraId="6199043F" w14:textId="77777777" w:rsidR="00B708F7" w:rsidRPr="00CA076C" w:rsidRDefault="00B708F7" w:rsidP="00B708F7">
      <w:pPr>
        <w:pStyle w:val="Listenabsatz"/>
        <w:numPr>
          <w:ilvl w:val="0"/>
          <w:numId w:val="21"/>
        </w:numPr>
      </w:pPr>
      <w:r w:rsidRPr="00CA076C">
        <w:t>Deterministische Erzeugung: Das Pseudonym wird durch eine schlüsselabhängige Einweg- oder Hashfunktion aus invarianten Daten (Bsp. Identitätsdaten) erzeugt.</w:t>
      </w:r>
    </w:p>
    <w:p w14:paraId="4644C0F9" w14:textId="77777777" w:rsidR="00B708F7" w:rsidRPr="00CA076C" w:rsidRDefault="00B708F7" w:rsidP="00B708F7">
      <w:pPr>
        <w:pStyle w:val="Listenabsatz"/>
        <w:numPr>
          <w:ilvl w:val="0"/>
          <w:numId w:val="21"/>
        </w:numPr>
      </w:pPr>
      <w:r w:rsidRPr="00CA076C">
        <w:t>Willkürlich Erzeugung: Das Pseudonym wird nach einem festen Einweg-Algorithmus vom Benutzer aus einem Geheimnis (</w:t>
      </w:r>
      <w:r w:rsidR="00552F0C" w:rsidRPr="00CA076C">
        <w:t>z. B.</w:t>
      </w:r>
      <w:r w:rsidRPr="00CA076C">
        <w:t xml:space="preserve"> Passphrase) erzeugt.</w:t>
      </w:r>
    </w:p>
    <w:p w14:paraId="56ABF35C" w14:textId="77777777" w:rsidR="00B708F7" w:rsidRPr="00CA076C" w:rsidRDefault="00B708F7" w:rsidP="00B708F7">
      <w:pPr>
        <w:pStyle w:val="Listenabsatz"/>
        <w:numPr>
          <w:ilvl w:val="0"/>
          <w:numId w:val="21"/>
        </w:numPr>
      </w:pPr>
      <w:r w:rsidRPr="00CA076C">
        <w:t>Zufällige Erzeugung: Das Pseudonym wird frei gewählt oder nach einem Zufallsverfahren erzeugt.</w:t>
      </w:r>
    </w:p>
    <w:p w14:paraId="1DA407A3" w14:textId="77777777" w:rsidR="0056012D" w:rsidRPr="00CA076C" w:rsidRDefault="002E1519" w:rsidP="0056012D">
      <w:pPr>
        <w:pStyle w:val="berschrift3"/>
      </w:pPr>
      <w:bookmarkStart w:id="105" w:name="_Toc503456512"/>
      <w:r w:rsidRPr="00CA076C">
        <w:lastRenderedPageBreak/>
        <w:t>Güte einer Pseudonymisierung</w:t>
      </w:r>
      <w:bookmarkEnd w:id="105"/>
    </w:p>
    <w:p w14:paraId="38C5AB51" w14:textId="68AF7AD3" w:rsidR="00021202" w:rsidRPr="00CA076C" w:rsidRDefault="002E1519" w:rsidP="002E1519">
      <w:r w:rsidRPr="00CA076C">
        <w:t>Primäre Identifikationsmerkmale sind Attribute oder Attributkombinationen, die eine eindeutige Identifizierung einer Person erlauben. Sekundäre Identifikationsmerkmale sind Attribute, die durch die Kombination mit anderen Attributen und der Verbindung mit externen Informationen (Telefonbuch</w:t>
      </w:r>
      <w:r w:rsidR="008618B9">
        <w:t>)</w:t>
      </w:r>
      <w:r w:rsidRPr="00CA076C">
        <w:t xml:space="preserve"> unter Umständen eine eindeutige Identifizierung des Personenbezugs erlauben. Beispiele für primäre Identifikationsmerkmale sind: Name, Kontonummer, Personalnummer, Patienten-Identifikationsnummer oder auch die Mitgliedsnummer in einem Verein. Beispiele für sekundäre Identifikationsmerkmale sind seltene Berufe oder Erkrankungen, die gemeinsam mit einem Wohnort mit einer geringen Einwohnerzahl eine Re-Identifizierung ermöglichen.</w:t>
      </w:r>
    </w:p>
    <w:p w14:paraId="124A179F" w14:textId="77777777" w:rsidR="002E1519" w:rsidRPr="00CA076C" w:rsidRDefault="002E1519" w:rsidP="002E1519">
      <w:r w:rsidRPr="00CA076C">
        <w:t>Bei einer Pseudonymisierung sind grundsätzlich alle primären Identifikationsmerkmale zu bearbeiten, wenn eine einfache Re-Identifikationsmöglichkeit ausgeschlossen werden muss. Je höher der Schutzbedarf ist, desto mehr Wert muss auf die Identifizierung und Veränderung der sekundären Identifikationsmerkmale gelegt werden. Die Identifikation dieser Merkmale ist nicht immer einfach, Hinweise geben Merkmale, die sich gar nicht (</w:t>
      </w:r>
      <w:r w:rsidR="00552F0C" w:rsidRPr="00CA076C">
        <w:t>z. B.</w:t>
      </w:r>
      <w:r w:rsidRPr="00CA076C">
        <w:t xml:space="preserve"> Geburtsort oder Geburtsdatum) bzw. selten ändern (</w:t>
      </w:r>
      <w:r w:rsidR="00552F0C" w:rsidRPr="00CA076C">
        <w:t>z. B.</w:t>
      </w:r>
      <w:r w:rsidRPr="00CA076C">
        <w:t xml:space="preserve"> Wohnort oder Familienstand), aber auch </w:t>
      </w:r>
      <w:r w:rsidR="00881F8B" w:rsidRPr="00CA076C">
        <w:t>ausgefallene</w:t>
      </w:r>
      <w:r w:rsidRPr="00CA076C">
        <w:t xml:space="preserve"> Merkmale </w:t>
      </w:r>
      <w:r w:rsidR="00881F8B" w:rsidRPr="00CA076C">
        <w:t xml:space="preserve">wie </w:t>
      </w:r>
      <w:r w:rsidR="00552F0C" w:rsidRPr="00CA076C">
        <w:t>z. B.</w:t>
      </w:r>
      <w:r w:rsidR="00881F8B" w:rsidRPr="00CA076C">
        <w:t xml:space="preserve"> der Mann mit Brustkrebs.</w:t>
      </w:r>
    </w:p>
    <w:p w14:paraId="3F78F665" w14:textId="77777777" w:rsidR="00881F8B" w:rsidRPr="00CA076C" w:rsidRDefault="00881F8B" w:rsidP="002E1519">
      <w:r w:rsidRPr="00CA076C">
        <w:t xml:space="preserve">Zur Abschätzung der Güte der Pseudonymisierung sind sowohl die primären als auch die sekundären Merkmale zu betrachten und an Hand der genutzten </w:t>
      </w:r>
      <w:proofErr w:type="spellStart"/>
      <w:r w:rsidRPr="00CA076C">
        <w:t>Pseudonymisierungsmethode</w:t>
      </w:r>
      <w:proofErr w:type="spellEnd"/>
      <w:r w:rsidRPr="00CA076C">
        <w:t xml:space="preserve"> das Restrisiko einer Re-Identifizierung abzuschätzen.</w:t>
      </w:r>
    </w:p>
    <w:p w14:paraId="1E914D0C" w14:textId="77777777" w:rsidR="002E1519" w:rsidRPr="00CA076C" w:rsidRDefault="002E1519" w:rsidP="002E1519">
      <w:pPr>
        <w:pStyle w:val="berschrift3"/>
      </w:pPr>
      <w:bookmarkStart w:id="106" w:name="_Toc503456513"/>
      <w:r w:rsidRPr="00CA076C">
        <w:t>Methoden der Pseudonymisierung</w:t>
      </w:r>
      <w:bookmarkEnd w:id="106"/>
    </w:p>
    <w:p w14:paraId="47457C5B" w14:textId="77777777" w:rsidR="002E1519" w:rsidRPr="00CA076C" w:rsidRDefault="003C2BE8" w:rsidP="003C2BE8">
      <w:pPr>
        <w:spacing w:after="0"/>
      </w:pPr>
      <w:r w:rsidRPr="00CA076C">
        <w:t xml:space="preserve">Zur Pseudonymisierung personenbezogener Daten können verschiedene Methoden angewandt werden. Dabei lassen sich die eingesetzten </w:t>
      </w:r>
      <w:proofErr w:type="spellStart"/>
      <w:r w:rsidRPr="00CA076C">
        <w:t>Pseudonymisierungs</w:t>
      </w:r>
      <w:proofErr w:type="spellEnd"/>
      <w:r w:rsidRPr="00CA076C">
        <w:t>-Verfahren auf die folgenden Methoden zurückführen:</w:t>
      </w:r>
    </w:p>
    <w:p w14:paraId="4FC09556" w14:textId="77777777" w:rsidR="003C2BE8" w:rsidRPr="00CA076C" w:rsidRDefault="003C2BE8" w:rsidP="003C2BE8">
      <w:pPr>
        <w:pStyle w:val="Listenabsatz"/>
        <w:numPr>
          <w:ilvl w:val="0"/>
          <w:numId w:val="22"/>
        </w:numPr>
      </w:pPr>
      <w:r w:rsidRPr="00CA076C">
        <w:t xml:space="preserve">Nichtangabe: Bei dieser Methode wird das zu schützende Datum weggelassen, </w:t>
      </w:r>
      <w:r w:rsidR="00552F0C" w:rsidRPr="00CA076C">
        <w:t>z. B.</w:t>
      </w:r>
      <w:r w:rsidRPr="00CA076C">
        <w:t xml:space="preserve"> wird die Spalte mit dem Datum nicht exportiert oder nachträglich aus dem Export gelöscht.</w:t>
      </w:r>
    </w:p>
    <w:p w14:paraId="2A2DDBC3" w14:textId="6FB50FC6" w:rsidR="003C2BE8" w:rsidRPr="00CA076C" w:rsidRDefault="003C2BE8" w:rsidP="003C2BE8">
      <w:pPr>
        <w:pStyle w:val="Listenabsatz"/>
        <w:numPr>
          <w:ilvl w:val="0"/>
          <w:numId w:val="22"/>
        </w:numPr>
      </w:pPr>
      <w:r w:rsidRPr="00CA076C">
        <w:t>Maskierung: Hierbei werden die zu schützenden Daten mit einem konstanten oder sich ändernden Wert ersetzt.</w:t>
      </w:r>
      <w:r w:rsidR="00B14870" w:rsidRPr="00CA076C">
        <w:t xml:space="preserve"> Beispiele hierfür </w:t>
      </w:r>
      <w:r w:rsidR="00693302">
        <w:t xml:space="preserve">sind </w:t>
      </w:r>
      <w:r w:rsidR="00B14870" w:rsidRPr="00CA076C">
        <w:t xml:space="preserve">der Austausch der letzten 2 Ziffern einer Postleitzahl durch </w:t>
      </w:r>
      <w:r w:rsidR="00DA2B23" w:rsidRPr="00CA076C">
        <w:t xml:space="preserve">zwei feste Werte wie z. B. </w:t>
      </w:r>
      <w:r w:rsidR="00B14870" w:rsidRPr="00CA076C">
        <w:t>„00“</w:t>
      </w:r>
      <w:r w:rsidR="00DA2B23" w:rsidRPr="00CA076C">
        <w:t xml:space="preserve"> oder der Ersatz aller Nachnamen </w:t>
      </w:r>
      <w:r w:rsidR="00E7679E">
        <w:t xml:space="preserve">durch </w:t>
      </w:r>
      <w:r w:rsidR="00DA2B23" w:rsidRPr="00CA076C">
        <w:t>die Angabe „Muster“.</w:t>
      </w:r>
    </w:p>
    <w:p w14:paraId="3C54814F" w14:textId="5BDBB35C" w:rsidR="003C2BE8" w:rsidRPr="00CA076C" w:rsidRDefault="003C2BE8" w:rsidP="003C2BE8">
      <w:pPr>
        <w:pStyle w:val="Listenabsatz"/>
        <w:numPr>
          <w:ilvl w:val="0"/>
          <w:numId w:val="22"/>
        </w:numPr>
      </w:pPr>
      <w:proofErr w:type="spellStart"/>
      <w:r w:rsidRPr="00CA076C">
        <w:t>Shuffeling</w:t>
      </w:r>
      <w:proofErr w:type="spellEnd"/>
      <w:r w:rsidRPr="00CA076C">
        <w:t xml:space="preserve">: Hierbei werden Datensätze miteinander vermischt, </w:t>
      </w:r>
      <w:r w:rsidR="00CB4359" w:rsidRPr="00CA076C">
        <w:t>D. h.</w:t>
      </w:r>
      <w:r w:rsidRPr="00CA076C">
        <w:t xml:space="preserve"> die in einem </w:t>
      </w:r>
      <w:r w:rsidR="00B14870" w:rsidRPr="00CA076C">
        <w:t>Datensatz</w:t>
      </w:r>
      <w:r w:rsidRPr="00CA076C">
        <w:t xml:space="preserve"> enthaltenen Daten </w:t>
      </w:r>
      <w:r w:rsidR="00B14870" w:rsidRPr="00CA076C">
        <w:t>werden untereinander</w:t>
      </w:r>
      <w:r w:rsidR="00FD56B2" w:rsidRPr="00CA076C">
        <w:t xml:space="preserve"> </w:t>
      </w:r>
      <w:r w:rsidRPr="00CA076C">
        <w:t>getauscht</w:t>
      </w:r>
      <w:r w:rsidR="00B14870" w:rsidRPr="00CA076C">
        <w:t xml:space="preserve">, </w:t>
      </w:r>
      <w:r w:rsidR="00552F0C" w:rsidRPr="00CA076C">
        <w:t>z. B.</w:t>
      </w:r>
      <w:r w:rsidR="00B14870" w:rsidRPr="00CA076C">
        <w:t xml:space="preserve"> erhält Person „b“ die Hausnummer von Person „A“. </w:t>
      </w:r>
      <w:r w:rsidR="00141D6D" w:rsidRPr="00CA076C">
        <w:t xml:space="preserve">Dabei ist bei dieser Methode darauf zu achten, dass eindeutige Informationen (insbesondere alle primären Identifikationsmerkmale) wie z. B. eine Telefonnummer zusätzlich verfremdet werden müssen, da ansonsten der Personenbezug vorhanden bleibt. </w:t>
      </w:r>
      <w:r w:rsidR="00B14870" w:rsidRPr="00CA076C">
        <w:t>Weiterhin muss geprüft werden, ob das getauschte Datum mit dem ursprünglichen Datum übereinstimmt oder ob zufällig ein Austausch mit einem übereinstimmendem Datum stattfinden soll.</w:t>
      </w:r>
    </w:p>
    <w:p w14:paraId="10F199C1" w14:textId="77777777" w:rsidR="00B14870" w:rsidRPr="00CA076C" w:rsidRDefault="00B14870" w:rsidP="00B14870">
      <w:pPr>
        <w:pStyle w:val="Listenabsatz"/>
        <w:numPr>
          <w:ilvl w:val="0"/>
          <w:numId w:val="22"/>
        </w:numPr>
      </w:pPr>
      <w:r w:rsidRPr="00CA076C">
        <w:t>Varianzen: Auf zahlen basierende Daten werden in festgelegten Streuungsintervallen verändert, wobei das Streuungsintervall zufällig erhöht oder verringert wird.</w:t>
      </w:r>
    </w:p>
    <w:p w14:paraId="1FA443BA" w14:textId="0DDB4DEF" w:rsidR="00B14870" w:rsidRPr="00CA076C" w:rsidRDefault="00B14870" w:rsidP="00B14870">
      <w:pPr>
        <w:pStyle w:val="Listenabsatz"/>
        <w:numPr>
          <w:ilvl w:val="0"/>
          <w:numId w:val="22"/>
        </w:numPr>
      </w:pPr>
      <w:r w:rsidRPr="00CA076C">
        <w:t xml:space="preserve">Kryptographische Methoden: Durch den Einsatz von Verschlüsselungs- oder Hashalgorithmen wird verhindert, dass die ursprünglichen Daten einsehbar sind. Die Güte dieser Pseudonymisierung ist stark von der Güte der ausgewählten kryptographischen Verfahren abhängig, insbesondere von </w:t>
      </w:r>
      <w:r w:rsidR="00E7679E">
        <w:t xml:space="preserve">der </w:t>
      </w:r>
      <w:r w:rsidRPr="00CA076C">
        <w:t>Schlüssellänge bzw. von der Kollisionsresistenz der Hashmethode.</w:t>
      </w:r>
    </w:p>
    <w:p w14:paraId="7BC6FC66" w14:textId="77777777" w:rsidR="00017132" w:rsidRPr="00CA076C" w:rsidRDefault="00017132" w:rsidP="00017132">
      <w:pPr>
        <w:pStyle w:val="berschrift2"/>
      </w:pPr>
      <w:bookmarkStart w:id="107" w:name="_Toc503456514"/>
      <w:r w:rsidRPr="00CA076C">
        <w:lastRenderedPageBreak/>
        <w:t>Verschlüsselung</w:t>
      </w:r>
      <w:bookmarkEnd w:id="107"/>
    </w:p>
    <w:p w14:paraId="1BCDE059" w14:textId="77777777" w:rsidR="00166F23" w:rsidRPr="00CA076C" w:rsidRDefault="00166F23" w:rsidP="00166F23">
      <w:r w:rsidRPr="00CA076C">
        <w:t>Eine Verschlüsselung bedeutet einen zusätzlichen Schutz personenbezogener Daten. Dabei ist die Güte des Schutzes abhängig von der Güte der Verschlüsselungsalgorithmen. In „Technische Richtlinie 02102: Kryptographische Verfahren“</w:t>
      </w:r>
      <w:r w:rsidRPr="00CA076C">
        <w:rPr>
          <w:rStyle w:val="Funotenzeichen"/>
        </w:rPr>
        <w:footnoteReference w:id="25"/>
      </w:r>
      <w:r w:rsidRPr="00CA076C">
        <w:t xml:space="preserve"> empfiehlt das BSI Algorithmen und Schlüssellängen, so dass hierdurch die Abschätzung des Schutzes personenbezogener Daten ermöglicht wird.</w:t>
      </w:r>
    </w:p>
    <w:p w14:paraId="44248395" w14:textId="77777777" w:rsidR="00017132" w:rsidRPr="00CA076C" w:rsidRDefault="00166F23" w:rsidP="00166F23">
      <w:r w:rsidRPr="00CA076C">
        <w:t xml:space="preserve">Bzgl. der Erzeugung von Signaturschlüsseln, </w:t>
      </w:r>
      <w:proofErr w:type="spellStart"/>
      <w:r w:rsidRPr="00CA076C">
        <w:t>Hashen</w:t>
      </w:r>
      <w:proofErr w:type="spellEnd"/>
      <w:r w:rsidRPr="00CA076C">
        <w:t xml:space="preserve"> zu signierender Daten oder Erzeugung/Prüfung elektronischer Signaturen finden sich Empfehlungen bei der Bundesnetzagentur</w:t>
      </w:r>
      <w:r w:rsidRPr="00CA076C">
        <w:rPr>
          <w:rStyle w:val="Funotenzeichen"/>
        </w:rPr>
        <w:footnoteReference w:id="26"/>
      </w:r>
      <w:r w:rsidRPr="00CA076C">
        <w:t>, wobei diese Empfehlungen jährlich aktualisiert werden.</w:t>
      </w:r>
    </w:p>
    <w:p w14:paraId="47D8CF62" w14:textId="77777777" w:rsidR="00017132" w:rsidRPr="00CA076C" w:rsidRDefault="00017132" w:rsidP="00017132">
      <w:pPr>
        <w:pStyle w:val="berschrift2"/>
      </w:pPr>
      <w:bookmarkStart w:id="108" w:name="_Toc503456515"/>
      <w:r w:rsidRPr="00CA076C">
        <w:t>Gewährleistung Fähigkeit, die Vertraulichkeit, Integrität, Verfügbarkeit und Belastbarkeit der Systeme und Dienste</w:t>
      </w:r>
      <w:bookmarkEnd w:id="108"/>
    </w:p>
    <w:p w14:paraId="6398BDCA" w14:textId="77777777" w:rsidR="005D025B" w:rsidRPr="00CA076C" w:rsidRDefault="005D025B" w:rsidP="005D025B">
      <w:pPr>
        <w:spacing w:after="0"/>
      </w:pPr>
      <w:r w:rsidRPr="00CA076C">
        <w:t>Die klassischen Schutzziele der Informationssicherheit werden oftmals durch das Kürzel „CIA“ dargestellt:</w:t>
      </w:r>
    </w:p>
    <w:p w14:paraId="75B5CA64" w14:textId="77777777" w:rsidR="005D025B" w:rsidRPr="00CA076C" w:rsidRDefault="005D025B" w:rsidP="005D025B">
      <w:pPr>
        <w:pStyle w:val="Listenabsatz"/>
        <w:numPr>
          <w:ilvl w:val="0"/>
          <w:numId w:val="46"/>
        </w:numPr>
      </w:pPr>
      <w:proofErr w:type="spellStart"/>
      <w:r w:rsidRPr="00CA076C">
        <w:t>Confidentiality</w:t>
      </w:r>
      <w:proofErr w:type="spellEnd"/>
      <w:r w:rsidRPr="00CA076C">
        <w:t xml:space="preserve"> (Vertraulichkeit)</w:t>
      </w:r>
    </w:p>
    <w:p w14:paraId="5A2260A1" w14:textId="77777777" w:rsidR="005D025B" w:rsidRPr="00CA076C" w:rsidRDefault="005D025B" w:rsidP="005D025B">
      <w:pPr>
        <w:pStyle w:val="Listenabsatz"/>
        <w:numPr>
          <w:ilvl w:val="0"/>
          <w:numId w:val="46"/>
        </w:numPr>
      </w:pPr>
      <w:proofErr w:type="spellStart"/>
      <w:r w:rsidRPr="00CA076C">
        <w:t>Integrity</w:t>
      </w:r>
      <w:proofErr w:type="spellEnd"/>
      <w:r w:rsidRPr="00CA076C">
        <w:t xml:space="preserve"> (Integrität)</w:t>
      </w:r>
    </w:p>
    <w:p w14:paraId="73E1D587" w14:textId="77777777" w:rsidR="005D025B" w:rsidRPr="00CA076C" w:rsidRDefault="005D025B" w:rsidP="005D025B">
      <w:pPr>
        <w:pStyle w:val="Listenabsatz"/>
        <w:numPr>
          <w:ilvl w:val="0"/>
          <w:numId w:val="46"/>
        </w:numPr>
      </w:pPr>
      <w:proofErr w:type="spellStart"/>
      <w:r w:rsidRPr="00CA076C">
        <w:t>Availability</w:t>
      </w:r>
      <w:proofErr w:type="spellEnd"/>
      <w:r w:rsidRPr="00CA076C">
        <w:t xml:space="preserve"> (Verfügbarkeit).</w:t>
      </w:r>
    </w:p>
    <w:p w14:paraId="39C9A277" w14:textId="77777777" w:rsidR="005D025B" w:rsidRPr="00CA076C" w:rsidRDefault="005D025B" w:rsidP="005D025B">
      <w:pPr>
        <w:pStyle w:val="Listenabsatz"/>
        <w:ind w:left="0"/>
      </w:pPr>
      <w:r w:rsidRPr="00CA076C">
        <w:t>Dieses klassische Trias der IT-Sicherheit wird durch die DS-GVO um die Anforderung „Belastbarkeit“ erweitert.</w:t>
      </w:r>
    </w:p>
    <w:p w14:paraId="076A83FA" w14:textId="77777777" w:rsidR="00E5793B" w:rsidRPr="00CA076C" w:rsidRDefault="00E5793B" w:rsidP="00E5793B">
      <w:pPr>
        <w:pStyle w:val="berschrift3"/>
      </w:pPr>
      <w:bookmarkStart w:id="109" w:name="_Toc503456516"/>
      <w:r w:rsidRPr="00CA076C">
        <w:t>Vertraulichkeit der Systeme und Dienste</w:t>
      </w:r>
      <w:bookmarkEnd w:id="109"/>
    </w:p>
    <w:p w14:paraId="1C55D202" w14:textId="167CBF8B" w:rsidR="00E5793B" w:rsidRPr="00CA076C" w:rsidRDefault="00141D6D" w:rsidP="00E5793B">
      <w:r w:rsidRPr="00CA076C">
        <w:t xml:space="preserve">In </w:t>
      </w:r>
      <w:r w:rsidR="00992CD9" w:rsidRPr="00CA076C">
        <w:t>der IT-Sicherheit wird von Vertraulichkeit gesprochen, wenn keine unautorisierte Informationsgewinnung möglich ist: Nur Personen, die dazu berechtigt sind, können von schützenswerten Daten Kenntnis nehmen.</w:t>
      </w:r>
    </w:p>
    <w:p w14:paraId="23665572" w14:textId="77777777" w:rsidR="00992CD9" w:rsidRPr="00CA076C" w:rsidRDefault="00CC5AB6" w:rsidP="00E5793B">
      <w:r w:rsidRPr="00CA076C">
        <w:t xml:space="preserve">Das Mittel der Wahl zur Gewährleistung des </w:t>
      </w:r>
      <w:r w:rsidR="00992CD9" w:rsidRPr="00CA076C">
        <w:t>Schutz</w:t>
      </w:r>
      <w:r w:rsidRPr="00CA076C">
        <w:t>es</w:t>
      </w:r>
      <w:r w:rsidR="00992CD9" w:rsidRPr="00CA076C">
        <w:t xml:space="preserve"> der </w:t>
      </w:r>
      <w:r w:rsidRPr="00CA076C">
        <w:t xml:space="preserve">Informationsinhalte ist der Einsatz kryptographischer Methoden, d. h. der Verschlüsselung der Daten bzw. der Verschlüsselung der Übertragungsmethoden. </w:t>
      </w:r>
      <w:r w:rsidR="00141D6D" w:rsidRPr="00CA076C">
        <w:t>Bei einer wirksamen Verschlüsselung können die verschlüsselten Informationen zwar weiterhin von einem unbefugten Dritten „abgefangen“ werden, jedoch bestehen keine Zugriffsmöglichkeiten auf die Inhalte, d. h. eine Offenbarung der Inhalte ist verhindert.</w:t>
      </w:r>
    </w:p>
    <w:p w14:paraId="27E8AB2A" w14:textId="77777777" w:rsidR="00E5793B" w:rsidRPr="00CA076C" w:rsidRDefault="00E5793B" w:rsidP="00E5793B">
      <w:pPr>
        <w:pStyle w:val="berschrift3"/>
      </w:pPr>
      <w:bookmarkStart w:id="110" w:name="_Toc503456517"/>
      <w:r w:rsidRPr="00CA076C">
        <w:t>Integrität der Systeme und Dienste</w:t>
      </w:r>
      <w:bookmarkEnd w:id="110"/>
    </w:p>
    <w:p w14:paraId="23FB3F4E" w14:textId="4ACCF948" w:rsidR="00CC5AB6" w:rsidRPr="00CA076C" w:rsidRDefault="00CC5AB6" w:rsidP="00E5793B">
      <w:r w:rsidRPr="00CA076C">
        <w:t xml:space="preserve">Die Integrität beinhaltet sowohl die Richtigkeit der Daten („Datenintegrität“) als auch die ordnungsgemäße Funktionsweise des Systems („Systemintegrität“). Die Gewährleistung der Integrität </w:t>
      </w:r>
      <w:r w:rsidR="00E7679E">
        <w:t>schließt</w:t>
      </w:r>
      <w:r w:rsidR="00E7679E" w:rsidRPr="00CA076C">
        <w:t xml:space="preserve"> </w:t>
      </w:r>
      <w:r w:rsidRPr="00CA076C">
        <w:t xml:space="preserve">damit das Verhindern von nicht autorisierten Veränderungen an Informationen </w:t>
      </w:r>
      <w:r w:rsidRPr="00CA076C">
        <w:lastRenderedPageBreak/>
        <w:t>oder Systemen</w:t>
      </w:r>
      <w:r w:rsidR="00E7679E">
        <w:t xml:space="preserve"> ein</w:t>
      </w:r>
      <w:r w:rsidRPr="00CA076C">
        <w:t>. Eine „starke Integrität“ lässt keine Manipulationsmöglichkeiten zu, während eine „schwache Integrität“ Manipulationen zwar nicht verhindert, diese jedoch immer entdeckt werden.</w:t>
      </w:r>
    </w:p>
    <w:p w14:paraId="78B84D07" w14:textId="77777777" w:rsidR="00E5793B" w:rsidRPr="00CA076C" w:rsidRDefault="00E5793B" w:rsidP="00E5793B">
      <w:pPr>
        <w:pStyle w:val="berschrift3"/>
      </w:pPr>
      <w:bookmarkStart w:id="111" w:name="_Toc503456518"/>
      <w:r w:rsidRPr="00CA076C">
        <w:t>Verfügbarkeit der Systeme und Dienste</w:t>
      </w:r>
      <w:bookmarkEnd w:id="111"/>
    </w:p>
    <w:p w14:paraId="51700080" w14:textId="34842B6E" w:rsidR="00E5793B" w:rsidRPr="00CA076C" w:rsidRDefault="00AD53A7" w:rsidP="00E5793B">
      <w:r w:rsidRPr="00CA076C">
        <w:t>Das Schutzziel Verfügbarkeit wird dann eingehalten, wenn gewährleistet ist, dass die Systeme jederzeit betriebsbereit sind und die Verarbeitung der Daten korrekt abläuft. Je nach konkreter Anforderung der Verfügbarkeit muss dabei de</w:t>
      </w:r>
      <w:r w:rsidR="00752BE1">
        <w:t>m</w:t>
      </w:r>
      <w:r w:rsidRPr="00CA076C">
        <w:t xml:space="preserve"> Ausfall des gesamten IT-Systems oder auch nur eines Teilbereiches durch geeignete Maßnahmen vorgebeugt werden.</w:t>
      </w:r>
    </w:p>
    <w:p w14:paraId="50D00B30" w14:textId="77777777" w:rsidR="00AD53A7" w:rsidRPr="00CA076C" w:rsidRDefault="00AD53A7" w:rsidP="00E5793B">
      <w:r w:rsidRPr="00CA076C">
        <w:t>Berechnet wird die Zuverlässigkeit über das Verhältnis zur Zeit, in dem das System tatsächlich zur Verfügung stand und der vereinbarten Zeit, in dem das System zu Verfügung stehen sollte. Häufig werden die Verfügbarkeitszeiten in einem Service-Level-Agreement vereinbart.</w:t>
      </w:r>
    </w:p>
    <w:p w14:paraId="5849FE5D" w14:textId="77777777" w:rsidR="00017132" w:rsidRPr="00CA076C" w:rsidRDefault="00F0719F" w:rsidP="00F0719F">
      <w:pPr>
        <w:pStyle w:val="berschrift3"/>
      </w:pPr>
      <w:bookmarkStart w:id="112" w:name="_Toc503456519"/>
      <w:r w:rsidRPr="00CA076C">
        <w:t>Belastbarkeit der Systeme und Dienste</w:t>
      </w:r>
      <w:bookmarkEnd w:id="112"/>
    </w:p>
    <w:p w14:paraId="29B00C08" w14:textId="77777777" w:rsidR="00F0719F" w:rsidRPr="00CA076C" w:rsidRDefault="00F0719F" w:rsidP="00F0719F">
      <w:r w:rsidRPr="00CA076C">
        <w:t>Die geforderte „Belastbarkeit der Systeme und Dienste“ ist kein klassisches Ziel der IT-Sicherheit. In der englischen Fassung findet sich der Begriff „</w:t>
      </w:r>
      <w:proofErr w:type="spellStart"/>
      <w:r w:rsidR="00E5793B" w:rsidRPr="00CA076C">
        <w:t>resilience</w:t>
      </w:r>
      <w:proofErr w:type="spellEnd"/>
      <w:r w:rsidRPr="00CA076C">
        <w:t>“, welcher in der deutschen Informatik-Fachliteratur i. d. R. mit „Widerstandsfähigkeit“ oder „Ausfallsicherheit“ übersetzt wird</w:t>
      </w:r>
      <w:r w:rsidR="00E5793B" w:rsidRPr="00CA076C">
        <w:rPr>
          <w:rStyle w:val="Funotenzeichen"/>
        </w:rPr>
        <w:footnoteReference w:id="27"/>
      </w:r>
      <w:r w:rsidRPr="00CA076C">
        <w:t>.</w:t>
      </w:r>
    </w:p>
    <w:p w14:paraId="61CA4501" w14:textId="77777777" w:rsidR="00F0719F" w:rsidRPr="00CA076C" w:rsidRDefault="00F0719F" w:rsidP="00BD1C28">
      <w:pPr>
        <w:spacing w:after="0"/>
      </w:pPr>
      <w:r w:rsidRPr="00CA076C">
        <w:t>D. h. es handelt sich hierbei um eine funktionale Anforderung</w:t>
      </w:r>
      <w:r w:rsidRPr="00CA076C">
        <w:rPr>
          <w:rStyle w:val="Funotenzeichen"/>
        </w:rPr>
        <w:footnoteReference w:id="28"/>
      </w:r>
      <w:r w:rsidRPr="00CA076C">
        <w:t>.</w:t>
      </w:r>
      <w:r w:rsidR="00BD1C28" w:rsidRPr="00CA076C">
        <w:t xml:space="preserve"> Mögliche Methoden zur Schaffung von Resilienz sind beispielsweise</w:t>
      </w:r>
    </w:p>
    <w:p w14:paraId="27C616C0" w14:textId="77777777" w:rsidR="00BD1C28" w:rsidRPr="00CA076C" w:rsidRDefault="00BD1C28" w:rsidP="00BD1C28">
      <w:pPr>
        <w:pStyle w:val="Listenabsatz"/>
        <w:numPr>
          <w:ilvl w:val="0"/>
          <w:numId w:val="34"/>
        </w:numPr>
      </w:pPr>
      <w:r w:rsidRPr="00CA076C">
        <w:t>Verteilte Systeme</w:t>
      </w:r>
    </w:p>
    <w:p w14:paraId="75637FFD" w14:textId="77777777" w:rsidR="00BD1C28" w:rsidRPr="00CA076C" w:rsidRDefault="00BD1C28" w:rsidP="00BD1C28">
      <w:pPr>
        <w:pStyle w:val="Listenabsatz"/>
        <w:numPr>
          <w:ilvl w:val="0"/>
          <w:numId w:val="34"/>
        </w:numPr>
      </w:pPr>
      <w:r w:rsidRPr="00CA076C">
        <w:t>Redundanzplanung</w:t>
      </w:r>
    </w:p>
    <w:p w14:paraId="05320E9D" w14:textId="77777777" w:rsidR="00BD1C28" w:rsidRPr="00CA076C" w:rsidRDefault="00BD1C28" w:rsidP="00BD1C28">
      <w:pPr>
        <w:pStyle w:val="Listenabsatz"/>
        <w:numPr>
          <w:ilvl w:val="0"/>
          <w:numId w:val="34"/>
        </w:numPr>
      </w:pPr>
      <w:r w:rsidRPr="00CA076C">
        <w:t>Nutzung von adaptiven Systemen.</w:t>
      </w:r>
    </w:p>
    <w:p w14:paraId="6C6760B1" w14:textId="77777777" w:rsidR="00017132" w:rsidRPr="00CA076C" w:rsidRDefault="00017132" w:rsidP="00017132">
      <w:pPr>
        <w:pStyle w:val="berschrift2"/>
      </w:pPr>
      <w:bookmarkStart w:id="113" w:name="_Toc503456520"/>
      <w:proofErr w:type="spellStart"/>
      <w:r w:rsidRPr="00CA076C">
        <w:t>Recovery</w:t>
      </w:r>
      <w:proofErr w:type="spellEnd"/>
      <w:r w:rsidRPr="00CA076C">
        <w:t>: Wiederherstellung der Verfügbarkeit und des Zugangs zu personenbezogenen Daten</w:t>
      </w:r>
      <w:bookmarkEnd w:id="113"/>
    </w:p>
    <w:p w14:paraId="54F56754" w14:textId="30EB3131" w:rsidR="00017132" w:rsidRPr="00CA076C" w:rsidRDefault="00476BBC" w:rsidP="00017132">
      <w:r w:rsidRPr="00CA076C">
        <w:t>In der IT-Sicherheit ist der Begriff de</w:t>
      </w:r>
      <w:r w:rsidR="00D32A7D">
        <w:t>s</w:t>
      </w:r>
      <w:r w:rsidRPr="00CA076C">
        <w:t xml:space="preserve"> „IT </w:t>
      </w:r>
      <w:proofErr w:type="spellStart"/>
      <w:r w:rsidRPr="00CA076C">
        <w:t>Continuity</w:t>
      </w:r>
      <w:proofErr w:type="spellEnd"/>
      <w:r w:rsidRPr="00CA076C">
        <w:t xml:space="preserve"> </w:t>
      </w:r>
      <w:proofErr w:type="spellStart"/>
      <w:r w:rsidRPr="00CA076C">
        <w:t>Plan</w:t>
      </w:r>
      <w:r w:rsidR="00141D6D" w:rsidRPr="00CA076C">
        <w:t>nin</w:t>
      </w:r>
      <w:r w:rsidRPr="00CA076C">
        <w:t>g</w:t>
      </w:r>
      <w:proofErr w:type="spellEnd"/>
      <w:r w:rsidRPr="00CA076C">
        <w:t>“, d.h. der Planung der Fortführung bzw. Wiederaufnahme der Geschäftsfähigkeit im Falle schwerer Störungen etabliert. Im Rahmen de</w:t>
      </w:r>
      <w:r w:rsidR="009665AB">
        <w:t>s</w:t>
      </w:r>
      <w:r w:rsidRPr="00CA076C">
        <w:t xml:space="preserve"> IT </w:t>
      </w:r>
      <w:proofErr w:type="spellStart"/>
      <w:r w:rsidRPr="00CA076C">
        <w:t>Continuity</w:t>
      </w:r>
      <w:proofErr w:type="spellEnd"/>
      <w:r w:rsidRPr="00CA076C">
        <w:t xml:space="preserve"> </w:t>
      </w:r>
      <w:proofErr w:type="spellStart"/>
      <w:r w:rsidRPr="00CA076C">
        <w:t>Plann</w:t>
      </w:r>
      <w:r w:rsidR="00141D6D" w:rsidRPr="00CA076C">
        <w:t>in</w:t>
      </w:r>
      <w:r w:rsidRPr="00CA076C">
        <w:t>g</w:t>
      </w:r>
      <w:proofErr w:type="spellEnd"/>
      <w:r w:rsidRPr="00CA076C">
        <w:t xml:space="preserve"> erfolgt auch eine Planung des Notfall-</w:t>
      </w:r>
      <w:proofErr w:type="spellStart"/>
      <w:r w:rsidRPr="00CA076C">
        <w:t>Recovery</w:t>
      </w:r>
      <w:proofErr w:type="spellEnd"/>
      <w:r w:rsidRPr="00CA076C">
        <w:t>. Dabei beschreibt das Notfall</w:t>
      </w:r>
      <w:r w:rsidR="009665AB">
        <w:t>-</w:t>
      </w:r>
      <w:r w:rsidRPr="00CA076C">
        <w:t xml:space="preserve"> </w:t>
      </w:r>
      <w:proofErr w:type="spellStart"/>
      <w:r w:rsidRPr="00CA076C">
        <w:t>Recovery</w:t>
      </w:r>
      <w:proofErr w:type="spellEnd"/>
      <w:r w:rsidRPr="00CA076C">
        <w:t xml:space="preserve"> Konzept die Wiederherstellung des Regelbetriebs nach einem Notfallereignis („</w:t>
      </w:r>
      <w:proofErr w:type="spellStart"/>
      <w:r w:rsidRPr="00CA076C">
        <w:t>Disaster</w:t>
      </w:r>
      <w:proofErr w:type="spellEnd"/>
      <w:r w:rsidRPr="00CA076C">
        <w:t xml:space="preserve"> </w:t>
      </w:r>
      <w:proofErr w:type="spellStart"/>
      <w:r w:rsidRPr="00CA076C">
        <w:t>Recovery</w:t>
      </w:r>
      <w:proofErr w:type="spellEnd"/>
      <w:r w:rsidRPr="00CA076C">
        <w:t>“).</w:t>
      </w:r>
    </w:p>
    <w:p w14:paraId="6589D343" w14:textId="49CB0276" w:rsidR="00476BBC" w:rsidRPr="00CA076C" w:rsidRDefault="00476BBC" w:rsidP="00017132">
      <w:r w:rsidRPr="00CA076C">
        <w:t xml:space="preserve">Dabei adressiert die IT-Sicherheit die für ein Unternehmen relevanten Daten, d. h. die Daten und Prozesse, die aus Sicht des Unternehmens für die Wiederaufnahme der Geschäftsfähigkeit notwendig sind. Die datenschutzrechtliche Anforderung des Art. 32 DS-GVO adressiert als Schutzobjekt jedoch die betroffene Person: </w:t>
      </w:r>
      <w:r w:rsidR="009665AB">
        <w:t>W</w:t>
      </w:r>
      <w:r w:rsidR="009665AB" w:rsidRPr="00CA076C">
        <w:t xml:space="preserve">elche </w:t>
      </w:r>
      <w:r w:rsidRPr="00CA076C">
        <w:t>Daten, Verarbeitungsvorgänge/Prozesse müssen wieder hergestellt werden, damit der von der Verarbeitung betroffenen Person kein</w:t>
      </w:r>
      <w:r w:rsidR="00726D39" w:rsidRPr="00CA076C">
        <w:t xml:space="preserve"> Nachteil oder gar Schaden bei einem physischen oder technischen Zwischenfall entsteht?</w:t>
      </w:r>
    </w:p>
    <w:p w14:paraId="737A91B2" w14:textId="77777777" w:rsidR="00726D39" w:rsidRPr="00CA076C" w:rsidRDefault="00141D6D" w:rsidP="00017132">
      <w:r w:rsidRPr="00CA076C">
        <w:lastRenderedPageBreak/>
        <w:t>Die Verfahren zur Wiederherstellung bleiben dabei gleich, jedoch müssen ggf. andere Daten oder Prozesse zusätzlich berücksichtigt werden.</w:t>
      </w:r>
    </w:p>
    <w:p w14:paraId="40344A22" w14:textId="4C98A810" w:rsidR="0096504D" w:rsidRPr="00CA076C" w:rsidRDefault="00726D39" w:rsidP="00017132">
      <w:r w:rsidRPr="00CA076C">
        <w:t>Die Norm fordert zudem eine „rasche“ Wiederherstellung. Naturgemäß kann eine nähere Eingrenzung nicht seitens des Normgebers vorgenommen werden, da der Wiederherstellungszeitraum zwangsläufig mit der Schwere des Zwischenfalls korrespondiert</w:t>
      </w:r>
      <w:r w:rsidR="001C5750" w:rsidRPr="00CA076C">
        <w:rPr>
          <w:rStyle w:val="Funotenzeichen"/>
        </w:rPr>
        <w:footnoteReference w:id="29"/>
      </w:r>
      <w:r w:rsidRPr="00CA076C">
        <w:t xml:space="preserve">. </w:t>
      </w:r>
      <w:r w:rsidR="00B560EE" w:rsidRPr="00CA076C">
        <w:t>J</w:t>
      </w:r>
      <w:r w:rsidR="003B7AC6">
        <w:t>e</w:t>
      </w:r>
      <w:r w:rsidR="00B560EE" w:rsidRPr="00CA076C">
        <w:t xml:space="preserve"> nachdem, ob </w:t>
      </w:r>
      <w:r w:rsidR="003B7AC6">
        <w:t>bspw.</w:t>
      </w:r>
      <w:r w:rsidR="00B560EE" w:rsidRPr="00CA076C">
        <w:t xml:space="preserve"> die Infrastruktur wiederhergestellt werden muss (z.B. durch Brand zerstörte Räume), die Systemumgebung (z.B. Wiederherstellung eines Servers auf Grund eines Hardwaredefekt</w:t>
      </w:r>
      <w:r w:rsidR="003B7AC6">
        <w:t>s</w:t>
      </w:r>
      <w:r w:rsidR="00B560EE" w:rsidRPr="00CA076C">
        <w:t>) neu aufgesetzt werden muss oder allein die Daten wiederhergestellt werden müssen – all dies hat Auswirkungen auf die benötigte Zeitdauer.</w:t>
      </w:r>
    </w:p>
    <w:p w14:paraId="310CC68E" w14:textId="6521770F" w:rsidR="00726D39" w:rsidRPr="00CA076C" w:rsidRDefault="00726D39" w:rsidP="00017132">
      <w:r w:rsidRPr="00CA076C">
        <w:t xml:space="preserve">Mit „rasch“ ist vermutlich nicht die </w:t>
      </w:r>
      <w:r w:rsidR="003B7AC6">
        <w:t xml:space="preserve">unverzügliche </w:t>
      </w:r>
      <w:r w:rsidRPr="00CA076C">
        <w:t>Wiederaufnahme „ohne schuldhaftes Verzögern“</w:t>
      </w:r>
      <w:r w:rsidR="003B7AC6">
        <w:t xml:space="preserve"> gemeint</w:t>
      </w:r>
      <w:r w:rsidRPr="00CA076C">
        <w:t xml:space="preserve">, da ansonsten - wie an anderer Stelle auch – „unverzüglich“ als Anforderung </w:t>
      </w:r>
      <w:r w:rsidR="003B7AC6">
        <w:t>verwendet</w:t>
      </w:r>
      <w:r w:rsidR="003B7AC6" w:rsidRPr="00CA076C">
        <w:t xml:space="preserve"> </w:t>
      </w:r>
      <w:r w:rsidRPr="00CA076C">
        <w:t>worden wäre</w:t>
      </w:r>
      <w:r w:rsidRPr="00CA076C">
        <w:rPr>
          <w:rStyle w:val="Funotenzeichen"/>
        </w:rPr>
        <w:footnoteReference w:id="30"/>
      </w:r>
      <w:r w:rsidRPr="00CA076C">
        <w:t>. „Rasch“ dürfte daher eine größere Zeitspanne beinhalten, als die Forderung nach einer unverzüglichen Wiederherstellung</w:t>
      </w:r>
      <w:r w:rsidR="001C5750" w:rsidRPr="00CA076C">
        <w:t xml:space="preserve"> (</w:t>
      </w:r>
      <w:r w:rsidR="003B7AC6">
        <w:t>w</w:t>
      </w:r>
      <w:r w:rsidR="003B7AC6" w:rsidRPr="00CA076C">
        <w:t xml:space="preserve">obei </w:t>
      </w:r>
      <w:r w:rsidR="001C5750" w:rsidRPr="00CA076C">
        <w:t>aus Sicht des Unternehmens selbst natürlich unbenommen von der rechtlichen Vorgabe eine Notwendigkeit zum unverzüglichen Handeln bestehen kann.)</w:t>
      </w:r>
    </w:p>
    <w:p w14:paraId="522A0502" w14:textId="77777777" w:rsidR="00017132" w:rsidRPr="00CA076C" w:rsidRDefault="00017132" w:rsidP="00017132">
      <w:pPr>
        <w:pStyle w:val="berschrift2"/>
      </w:pPr>
      <w:bookmarkStart w:id="114" w:name="_Toc503456521"/>
      <w:r w:rsidRPr="00CA076C">
        <w:t xml:space="preserve">Regelmäßige Überprüfung, Bewertung und Evaluierung der Wirksamkeit der </w:t>
      </w:r>
      <w:r w:rsidR="00552F0C" w:rsidRPr="00CA076C">
        <w:t>TOM</w:t>
      </w:r>
      <w:bookmarkEnd w:id="114"/>
    </w:p>
    <w:p w14:paraId="310F0C3F" w14:textId="4FE16E23" w:rsidR="00017132" w:rsidRPr="00CA076C" w:rsidRDefault="008138B5" w:rsidP="00017132">
      <w:r w:rsidRPr="00CA076C">
        <w:t>Verantwortliche wie auch Auftragsverarbeiter müssen die Sicherheitsmaßnahmen nicht nur einmalig planen und umsetzen, sie müssen die Wirksamkeit dieser Maßnahmen regelmäßig überprüfen und ggf. die Maßnahmen anpassen</w:t>
      </w:r>
      <w:r w:rsidRPr="00CA076C">
        <w:rPr>
          <w:rStyle w:val="Funotenzeichen"/>
        </w:rPr>
        <w:footnoteReference w:id="31"/>
      </w:r>
      <w:r w:rsidRPr="00CA076C">
        <w:t xml:space="preserve"> („Überprüfung, Bewertung und Evaluierung der Wirksamkeit“).</w:t>
      </w:r>
      <w:r w:rsidR="00C27BB8" w:rsidRPr="00CA076C">
        <w:t xml:space="preserve"> Art. 32 Abs. 1 lit. d DS-GVO fordert vom Normadressaten letztlich die Etablierung eines Prozesses, der einen </w:t>
      </w:r>
      <w:proofErr w:type="spellStart"/>
      <w:r w:rsidR="00C27BB8" w:rsidRPr="00CA076C">
        <w:t>Demingkreis</w:t>
      </w:r>
      <w:proofErr w:type="spellEnd"/>
      <w:r w:rsidR="00C27BB8" w:rsidRPr="00CA076C">
        <w:rPr>
          <w:rStyle w:val="Funotenzeichen"/>
        </w:rPr>
        <w:footnoteReference w:id="32"/>
      </w:r>
      <w:r w:rsidR="00C27BB8" w:rsidRPr="00CA076C">
        <w:t xml:space="preserve"> bestehend aus den Komponenten „Plan – Do – Check – Act“ abbildet</w:t>
      </w:r>
      <w:r w:rsidR="00C27BB8" w:rsidRPr="00CA076C">
        <w:rPr>
          <w:rStyle w:val="Funotenzeichen"/>
        </w:rPr>
        <w:footnoteReference w:id="33"/>
      </w:r>
      <w:r w:rsidR="00C27BB8" w:rsidRPr="00CA076C">
        <w:t>.</w:t>
      </w:r>
    </w:p>
    <w:p w14:paraId="2955A3A8" w14:textId="77777777" w:rsidR="008138B5" w:rsidRPr="00CA076C" w:rsidRDefault="008138B5" w:rsidP="00017132">
      <w:r w:rsidRPr="00CA076C">
        <w:t>Dabei wird die „Regelmäßigkeit“ nicht vom Normgeber konkret vorgegeben, sondern muss vom jeweiligen Normadressaten entsprechend der jeweiligen Notwendigkeit festgelegt werden.</w:t>
      </w:r>
    </w:p>
    <w:p w14:paraId="5574248B" w14:textId="77777777" w:rsidR="00CB4359" w:rsidRPr="00CA076C" w:rsidRDefault="00CB4359" w:rsidP="00CB4359">
      <w:pPr>
        <w:pStyle w:val="berschrift2"/>
      </w:pPr>
      <w:bookmarkStart w:id="115" w:name="_Toc503456522"/>
      <w:r w:rsidRPr="00CA076C">
        <w:t>Verarbeitung personenbezogener Daten</w:t>
      </w:r>
      <w:bookmarkEnd w:id="115"/>
    </w:p>
    <w:p w14:paraId="63AAD165" w14:textId="77777777" w:rsidR="00CB4359" w:rsidRPr="00CA076C" w:rsidRDefault="00CB4359" w:rsidP="00CB4359">
      <w:r w:rsidRPr="00CA076C">
        <w:t xml:space="preserve">Entsprechend Art. 32 Abs. 4 DS-GVO darf eine Verarbeitung personenbezogener Daten durch „unterstellte natürliche Personen“ nur </w:t>
      </w:r>
      <w:r w:rsidRPr="00CA076C">
        <w:rPr>
          <w:b/>
        </w:rPr>
        <w:t>auf Weisung des Verantwortlichen</w:t>
      </w:r>
      <w:r w:rsidRPr="00CA076C">
        <w:t xml:space="preserve"> erfolgen. Dem Wortlaut zufolge gilt dies sowohl für Personen, die beim Verantwortlichen als auch beim Auftragsverarbeiter beschäftigt sind.</w:t>
      </w:r>
    </w:p>
    <w:p w14:paraId="2B2FF4EC" w14:textId="5243C700" w:rsidR="00CB4359" w:rsidRPr="00CA076C" w:rsidRDefault="00CB4359" w:rsidP="00CB4359">
      <w:r w:rsidRPr="00CA076C">
        <w:t>D. h. eine Weisung des Verantwortlichen muss auch für Beschäftigte des Auftragsverarbeiters existieren, eine alleinige Weisung des Auftragsverarbeiters reicht hier nicht aus</w:t>
      </w:r>
      <w:r w:rsidRPr="00CA076C">
        <w:rPr>
          <w:rStyle w:val="Funotenzeichen"/>
        </w:rPr>
        <w:footnoteReference w:id="34"/>
      </w:r>
      <w:r w:rsidR="003167AF" w:rsidRPr="00CA076C">
        <w:rPr>
          <w:vertAlign w:val="superscript"/>
        </w:rPr>
        <w:t>,</w:t>
      </w:r>
      <w:r w:rsidR="003167AF" w:rsidRPr="00CA076C">
        <w:rPr>
          <w:rStyle w:val="Funotenzeichen"/>
        </w:rPr>
        <w:t xml:space="preserve"> </w:t>
      </w:r>
      <w:r w:rsidR="003167AF" w:rsidRPr="00CA076C">
        <w:rPr>
          <w:rStyle w:val="Funotenzeichen"/>
        </w:rPr>
        <w:footnoteReference w:id="35"/>
      </w:r>
      <w:r w:rsidRPr="00CA076C">
        <w:t xml:space="preserve">. Entsprechende </w:t>
      </w:r>
      <w:r w:rsidRPr="00CA076C">
        <w:lastRenderedPageBreak/>
        <w:t>Anweisungen des Auftragsverarbeiters müssen stets auf eine Weisung des Verantwortlichen rückführbar sein. Hier kann es sich als sinnvoll erweisen, entsprechend detaillierte Regelungen bzgl. Regelungen zur Erteilung entsprechender Einzelanweisungen aufzunehmen</w:t>
      </w:r>
      <w:r w:rsidRPr="00CA076C">
        <w:rPr>
          <w:rStyle w:val="Funotenzeichen"/>
        </w:rPr>
        <w:footnoteReference w:id="36"/>
      </w:r>
      <w:r w:rsidR="00624064" w:rsidRPr="00CA076C">
        <w:t>.</w:t>
      </w:r>
    </w:p>
    <w:p w14:paraId="69D3C46B" w14:textId="77777777" w:rsidR="00624064" w:rsidRPr="00CA076C" w:rsidRDefault="00624064" w:rsidP="00CB4359">
      <w:r w:rsidRPr="00CA076C">
        <w:t>Eine Ausnahme von dieser Weisungspflicht durch den Verantwortlichen existiert nur, wenn die Verarbeitung nach dem Recht der Union oder der Mitgliedstaaten verpflichtend erfolgen muss.</w:t>
      </w:r>
    </w:p>
    <w:p w14:paraId="7C233008" w14:textId="77777777" w:rsidR="008640CD" w:rsidRPr="00CA076C" w:rsidRDefault="008640CD" w:rsidP="007628C9">
      <w:pPr>
        <w:pStyle w:val="berschrift2"/>
      </w:pPr>
      <w:bookmarkStart w:id="116" w:name="_Toc503456523"/>
      <w:r w:rsidRPr="00CA076C">
        <w:t>Mapping der technischen und organisatorischen Maßnahmen (</w:t>
      </w:r>
      <w:r w:rsidR="00552F0C" w:rsidRPr="00CA076C">
        <w:t>TOM</w:t>
      </w:r>
      <w:r w:rsidRPr="00CA076C">
        <w:t>): DS-GVO vs. BDSG</w:t>
      </w:r>
      <w:bookmarkEnd w:id="116"/>
    </w:p>
    <w:p w14:paraId="6CF6AA13" w14:textId="70F9803B" w:rsidR="00FD56B2" w:rsidRPr="00CA076C" w:rsidRDefault="00141D6D" w:rsidP="00FD56B2">
      <w:r w:rsidRPr="00CA076C">
        <w:t xml:space="preserve">Die nachfolgende Gegenüberstellung der von Art. 32 DS-GVO geforderten Maßnahmen mit den Maßnahmen bzw. Kontrollen aus der Anlage zu § 9 BDSG soll bei der Prüfung </w:t>
      </w:r>
      <w:r w:rsidR="004A7E7E">
        <w:t>dahingehend</w:t>
      </w:r>
      <w:r w:rsidR="004A7E7E" w:rsidRPr="00CA076C">
        <w:t xml:space="preserve"> </w:t>
      </w:r>
      <w:r w:rsidRPr="00CA076C">
        <w:t>unterstützen, wie bzw. wo die von der DS-GVO geforderten Maßnahmen möglicherweise schon heute, im Rahmen der Kontrollen der Anlage zu § 9 BDSG berücksichtigt wurden und wo ggf. noch Umsetzungs</w:t>
      </w:r>
      <w:r w:rsidR="004A7E7E">
        <w:t>- oder Anpassungs</w:t>
      </w:r>
      <w:r w:rsidRPr="00CA076C">
        <w:t>bedarf besteht.</w:t>
      </w:r>
    </w:p>
    <w:tbl>
      <w:tblPr>
        <w:tblStyle w:val="Tabellenraster"/>
        <w:tblW w:w="0" w:type="auto"/>
        <w:tblLook w:val="04A0" w:firstRow="1" w:lastRow="0" w:firstColumn="1" w:lastColumn="0" w:noHBand="0" w:noVBand="1"/>
      </w:tblPr>
      <w:tblGrid>
        <w:gridCol w:w="5082"/>
        <w:gridCol w:w="4206"/>
      </w:tblGrid>
      <w:tr w:rsidR="00FD56B2" w:rsidRPr="00CA076C" w14:paraId="193C4DE1" w14:textId="77777777" w:rsidTr="001E1797">
        <w:trPr>
          <w:tblHeader/>
        </w:trPr>
        <w:tc>
          <w:tcPr>
            <w:tcW w:w="5082" w:type="dxa"/>
            <w:vAlign w:val="center"/>
          </w:tcPr>
          <w:p w14:paraId="4DE78ED1" w14:textId="77777777" w:rsidR="00FD56B2" w:rsidRPr="00CA076C" w:rsidRDefault="00FD56B2" w:rsidP="001E1797">
            <w:pPr>
              <w:jc w:val="center"/>
              <w:rPr>
                <w:b/>
              </w:rPr>
            </w:pPr>
            <w:r w:rsidRPr="00CA076C">
              <w:rPr>
                <w:b/>
              </w:rPr>
              <w:t>Art. 32 DS-GVO</w:t>
            </w:r>
          </w:p>
        </w:tc>
        <w:tc>
          <w:tcPr>
            <w:tcW w:w="4206" w:type="dxa"/>
            <w:vAlign w:val="center"/>
          </w:tcPr>
          <w:p w14:paraId="475EC1C4" w14:textId="77777777" w:rsidR="00FD56B2" w:rsidRPr="00CA076C" w:rsidRDefault="00FD56B2" w:rsidP="001E1797">
            <w:pPr>
              <w:jc w:val="center"/>
              <w:rPr>
                <w:b/>
              </w:rPr>
            </w:pPr>
            <w:r w:rsidRPr="00CA076C">
              <w:rPr>
                <w:b/>
              </w:rPr>
              <w:t>Anlage zu § 9 BDSG</w:t>
            </w:r>
          </w:p>
        </w:tc>
      </w:tr>
      <w:tr w:rsidR="00FD56B2" w:rsidRPr="00CA076C" w14:paraId="7D994774" w14:textId="77777777" w:rsidTr="001E1797">
        <w:tc>
          <w:tcPr>
            <w:tcW w:w="5082" w:type="dxa"/>
          </w:tcPr>
          <w:p w14:paraId="398463C4" w14:textId="77777777" w:rsidR="00FD56B2" w:rsidRPr="00CA076C" w:rsidRDefault="00FD56B2" w:rsidP="00FD56B2">
            <w:pPr>
              <w:jc w:val="left"/>
            </w:pPr>
            <w:r w:rsidRPr="00CA076C">
              <w:t>Art. 32 Abs. 1 lit. a</w:t>
            </w:r>
          </w:p>
          <w:p w14:paraId="26F4246E" w14:textId="77777777" w:rsidR="00FD56B2" w:rsidRPr="00CA076C" w:rsidRDefault="00FD56B2" w:rsidP="00FD56B2">
            <w:pPr>
              <w:jc w:val="left"/>
            </w:pPr>
            <w:r w:rsidRPr="00CA076C">
              <w:t>Pseudonymisierung personenbezogener Daten</w:t>
            </w:r>
          </w:p>
        </w:tc>
        <w:tc>
          <w:tcPr>
            <w:tcW w:w="4206" w:type="dxa"/>
          </w:tcPr>
          <w:p w14:paraId="7F265BB6" w14:textId="77777777" w:rsidR="00FD56B2" w:rsidRPr="00CA076C" w:rsidRDefault="00FD56B2" w:rsidP="00FD56B2">
            <w:pPr>
              <w:jc w:val="left"/>
            </w:pPr>
            <w:r w:rsidRPr="00CA076C">
              <w:t>-/-</w:t>
            </w:r>
          </w:p>
        </w:tc>
      </w:tr>
      <w:tr w:rsidR="00FD56B2" w:rsidRPr="00CA076C" w14:paraId="09BD3B8D" w14:textId="77777777" w:rsidTr="001E1797">
        <w:tc>
          <w:tcPr>
            <w:tcW w:w="5082" w:type="dxa"/>
          </w:tcPr>
          <w:p w14:paraId="7C573488" w14:textId="77777777" w:rsidR="00FD56B2" w:rsidRPr="00CA076C" w:rsidRDefault="00FD56B2" w:rsidP="00FD56B2">
            <w:pPr>
              <w:jc w:val="left"/>
            </w:pPr>
            <w:r w:rsidRPr="00CA076C">
              <w:t>Art. 32 Abs. 1 lit. lit. a</w:t>
            </w:r>
          </w:p>
          <w:p w14:paraId="38874E4D" w14:textId="77777777" w:rsidR="00FD56B2" w:rsidRPr="00CA076C" w:rsidRDefault="00FD56B2" w:rsidP="00FD56B2">
            <w:pPr>
              <w:jc w:val="left"/>
            </w:pPr>
            <w:r w:rsidRPr="00CA076C">
              <w:t>Verschlüsselung personenbezogener Daten</w:t>
            </w:r>
          </w:p>
        </w:tc>
        <w:tc>
          <w:tcPr>
            <w:tcW w:w="4206" w:type="dxa"/>
          </w:tcPr>
          <w:p w14:paraId="39D3B46B" w14:textId="77777777" w:rsidR="00FD56B2" w:rsidRPr="00CA076C" w:rsidRDefault="00FD56B2" w:rsidP="00FD56B2">
            <w:pPr>
              <w:jc w:val="left"/>
            </w:pPr>
            <w:r w:rsidRPr="00CA076C">
              <w:t>-/-</w:t>
            </w:r>
          </w:p>
        </w:tc>
      </w:tr>
      <w:tr w:rsidR="00FD56B2" w:rsidRPr="00CA076C" w14:paraId="0AE9E8B6" w14:textId="77777777" w:rsidTr="001E1797">
        <w:tc>
          <w:tcPr>
            <w:tcW w:w="5082" w:type="dxa"/>
          </w:tcPr>
          <w:p w14:paraId="3BA2390F" w14:textId="77777777" w:rsidR="00FD56B2" w:rsidRPr="00CA076C" w:rsidRDefault="00FD56B2" w:rsidP="00FD56B2">
            <w:pPr>
              <w:jc w:val="left"/>
            </w:pPr>
            <w:r w:rsidRPr="00CA076C">
              <w:t>Art. 32 Abs. 1 lit. lit. b:</w:t>
            </w:r>
          </w:p>
          <w:p w14:paraId="5973CE10" w14:textId="77777777" w:rsidR="00FD56B2" w:rsidRPr="00CA076C" w:rsidRDefault="00FD56B2" w:rsidP="00FD56B2">
            <w:pPr>
              <w:jc w:val="left"/>
            </w:pPr>
            <w:r w:rsidRPr="00CA076C">
              <w:t>… Vertraulichkeit, … im Zusammenhang mit der Verarbeitung auf Dauer sicherzustellen</w:t>
            </w:r>
          </w:p>
        </w:tc>
        <w:tc>
          <w:tcPr>
            <w:tcW w:w="4206" w:type="dxa"/>
          </w:tcPr>
          <w:p w14:paraId="4AB51EF1" w14:textId="77777777" w:rsidR="00FD56B2" w:rsidRPr="00CA076C" w:rsidRDefault="00FD56B2" w:rsidP="00FD56B2">
            <w:pPr>
              <w:jc w:val="left"/>
            </w:pPr>
            <w:r w:rsidRPr="00CA076C">
              <w:t>Zutrittskontrolle</w:t>
            </w:r>
          </w:p>
          <w:p w14:paraId="2170E94E" w14:textId="77777777" w:rsidR="00FD56B2" w:rsidRPr="00CA076C" w:rsidRDefault="00FD56B2" w:rsidP="00FD56B2">
            <w:pPr>
              <w:jc w:val="left"/>
            </w:pPr>
            <w:r w:rsidRPr="00CA076C">
              <w:t>Zugangskontrolle</w:t>
            </w:r>
          </w:p>
          <w:p w14:paraId="03B32271" w14:textId="77777777" w:rsidR="00FD56B2" w:rsidRPr="00CA076C" w:rsidRDefault="00FD56B2" w:rsidP="00FD56B2">
            <w:pPr>
              <w:jc w:val="left"/>
            </w:pPr>
            <w:r w:rsidRPr="00CA076C">
              <w:t>Zugriffskontrolle</w:t>
            </w:r>
          </w:p>
          <w:p w14:paraId="0A3CF902" w14:textId="77777777" w:rsidR="00FD56B2" w:rsidRPr="00CA076C" w:rsidRDefault="00FD56B2" w:rsidP="00FD56B2">
            <w:pPr>
              <w:jc w:val="left"/>
            </w:pPr>
            <w:r w:rsidRPr="00CA076C">
              <w:t>Weitergabekontrolle</w:t>
            </w:r>
          </w:p>
          <w:p w14:paraId="60297ECB" w14:textId="77777777" w:rsidR="00FD56B2" w:rsidRPr="00CA076C" w:rsidRDefault="00FD56B2" w:rsidP="00FD56B2">
            <w:pPr>
              <w:jc w:val="left"/>
            </w:pPr>
            <w:r w:rsidRPr="00CA076C">
              <w:t>Auftragskontrolle</w:t>
            </w:r>
          </w:p>
          <w:p w14:paraId="32F20D03" w14:textId="77777777" w:rsidR="00FD56B2" w:rsidRPr="00CA076C" w:rsidRDefault="00FD56B2" w:rsidP="00FD56B2">
            <w:pPr>
              <w:jc w:val="left"/>
            </w:pPr>
            <w:r w:rsidRPr="00CA076C">
              <w:t>Zweckbindung</w:t>
            </w:r>
          </w:p>
        </w:tc>
      </w:tr>
      <w:tr w:rsidR="00FD56B2" w:rsidRPr="00CA076C" w14:paraId="7E584CD3" w14:textId="77777777" w:rsidTr="001E1797">
        <w:tc>
          <w:tcPr>
            <w:tcW w:w="5082" w:type="dxa"/>
          </w:tcPr>
          <w:p w14:paraId="4A913F92" w14:textId="77777777" w:rsidR="00FD56B2" w:rsidRPr="00CA076C" w:rsidRDefault="00FD56B2" w:rsidP="00FD56B2">
            <w:pPr>
              <w:jc w:val="left"/>
            </w:pPr>
            <w:r w:rsidRPr="00CA076C">
              <w:t>Art. 32 Abs. 1 lit. lit. b:</w:t>
            </w:r>
          </w:p>
          <w:p w14:paraId="41409962" w14:textId="77777777" w:rsidR="00FD56B2" w:rsidRPr="00CA076C" w:rsidRDefault="00FD56B2" w:rsidP="00FD56B2">
            <w:pPr>
              <w:jc w:val="left"/>
            </w:pPr>
            <w:r w:rsidRPr="00CA076C">
              <w:t>… Integrität, … im Zusammenhang mit der Verarbeitung auf Dauer sicherzustellen</w:t>
            </w:r>
          </w:p>
        </w:tc>
        <w:tc>
          <w:tcPr>
            <w:tcW w:w="4206" w:type="dxa"/>
          </w:tcPr>
          <w:p w14:paraId="66491A2B" w14:textId="77777777" w:rsidR="00FD56B2" w:rsidRPr="00CA076C" w:rsidRDefault="00FD56B2" w:rsidP="00FD56B2">
            <w:pPr>
              <w:jc w:val="left"/>
            </w:pPr>
            <w:r w:rsidRPr="00CA076C">
              <w:t>Eingabekontrolle</w:t>
            </w:r>
          </w:p>
          <w:p w14:paraId="1D7DCE19" w14:textId="77777777" w:rsidR="00FD56B2" w:rsidRPr="00CA076C" w:rsidRDefault="00FD56B2" w:rsidP="00FD56B2">
            <w:pPr>
              <w:jc w:val="left"/>
            </w:pPr>
            <w:r w:rsidRPr="00CA076C">
              <w:t>Auftragskontrolle</w:t>
            </w:r>
          </w:p>
        </w:tc>
      </w:tr>
      <w:tr w:rsidR="00FD56B2" w:rsidRPr="00CA076C" w14:paraId="750F725D" w14:textId="77777777" w:rsidTr="001E1797">
        <w:tc>
          <w:tcPr>
            <w:tcW w:w="5082" w:type="dxa"/>
          </w:tcPr>
          <w:p w14:paraId="1C884041" w14:textId="77777777" w:rsidR="00FD56B2" w:rsidRPr="00CA076C" w:rsidRDefault="00FD56B2" w:rsidP="00FD56B2">
            <w:pPr>
              <w:jc w:val="left"/>
            </w:pPr>
            <w:r w:rsidRPr="00CA076C">
              <w:t>Art. 32 Abs. 1 lit. b:</w:t>
            </w:r>
          </w:p>
          <w:p w14:paraId="3215ABFF" w14:textId="77777777" w:rsidR="00FD56B2" w:rsidRPr="00CA076C" w:rsidRDefault="00FD56B2" w:rsidP="00FD56B2">
            <w:pPr>
              <w:jc w:val="left"/>
            </w:pPr>
            <w:r w:rsidRPr="00CA076C">
              <w:t>… Verfügbarkeit … im Zusammenhang mit der Verarbeitung auf Dauer sicherzustellen</w:t>
            </w:r>
          </w:p>
        </w:tc>
        <w:tc>
          <w:tcPr>
            <w:tcW w:w="4206" w:type="dxa"/>
          </w:tcPr>
          <w:p w14:paraId="047419D3" w14:textId="77777777" w:rsidR="00FD56B2" w:rsidRPr="00CA076C" w:rsidRDefault="00FD56B2" w:rsidP="00FD56B2">
            <w:pPr>
              <w:jc w:val="left"/>
            </w:pPr>
            <w:r w:rsidRPr="00CA076C">
              <w:t>Verfügbarkeitskontrolle</w:t>
            </w:r>
          </w:p>
        </w:tc>
      </w:tr>
      <w:tr w:rsidR="00FD56B2" w:rsidRPr="00CA076C" w14:paraId="5346D8DC" w14:textId="77777777" w:rsidTr="001E1797">
        <w:tc>
          <w:tcPr>
            <w:tcW w:w="5082" w:type="dxa"/>
          </w:tcPr>
          <w:p w14:paraId="6CA35B42" w14:textId="77777777" w:rsidR="00FD56B2" w:rsidRPr="00CA076C" w:rsidRDefault="00FD56B2" w:rsidP="00FD56B2">
            <w:pPr>
              <w:jc w:val="left"/>
            </w:pPr>
            <w:r w:rsidRPr="00CA076C">
              <w:t>Art. 32 Abs. 1 lit. b:</w:t>
            </w:r>
          </w:p>
          <w:p w14:paraId="51F0EE62" w14:textId="77777777" w:rsidR="00FD56B2" w:rsidRPr="00CA076C" w:rsidRDefault="00FD56B2" w:rsidP="00FD56B2">
            <w:pPr>
              <w:jc w:val="left"/>
            </w:pPr>
            <w:r w:rsidRPr="00CA076C">
              <w:t>… Belastbarkeit … im Zusammenhang mit der Verarbeitung auf Dauer sicherzustellen</w:t>
            </w:r>
          </w:p>
        </w:tc>
        <w:tc>
          <w:tcPr>
            <w:tcW w:w="4206" w:type="dxa"/>
          </w:tcPr>
          <w:p w14:paraId="22F605BD" w14:textId="77777777" w:rsidR="00FD56B2" w:rsidRPr="00CA076C" w:rsidRDefault="00FD56B2" w:rsidP="00FD56B2">
            <w:pPr>
              <w:jc w:val="left"/>
            </w:pPr>
            <w:r w:rsidRPr="00CA076C">
              <w:t>-/-</w:t>
            </w:r>
          </w:p>
        </w:tc>
      </w:tr>
      <w:tr w:rsidR="00FD56B2" w:rsidRPr="00CA076C" w14:paraId="740C60C2" w14:textId="77777777" w:rsidTr="001E1797">
        <w:tc>
          <w:tcPr>
            <w:tcW w:w="5082" w:type="dxa"/>
          </w:tcPr>
          <w:p w14:paraId="5FFA4869" w14:textId="77777777" w:rsidR="00FD56B2" w:rsidRPr="00CA076C" w:rsidRDefault="00FD56B2" w:rsidP="00FD56B2">
            <w:pPr>
              <w:jc w:val="left"/>
            </w:pPr>
            <w:r w:rsidRPr="00CA076C">
              <w:t>Art. 32 Abs. 1 lit. c:</w:t>
            </w:r>
          </w:p>
          <w:p w14:paraId="1FB8D1D8" w14:textId="77777777" w:rsidR="00FD56B2" w:rsidRPr="00CA076C" w:rsidRDefault="00FD56B2" w:rsidP="00FD56B2">
            <w:pPr>
              <w:jc w:val="left"/>
            </w:pPr>
            <w:r w:rsidRPr="00CA076C">
              <w:t>Beschreibung des Verfahrens zur Gewährleistung den Zugang zu den personenbezogenen Daten bei einem physischen oder technischen Zwischenfall rasch wiederherzustellen</w:t>
            </w:r>
          </w:p>
        </w:tc>
        <w:tc>
          <w:tcPr>
            <w:tcW w:w="4206" w:type="dxa"/>
          </w:tcPr>
          <w:p w14:paraId="1056FBF3" w14:textId="77777777" w:rsidR="00FD56B2" w:rsidRPr="00CA076C" w:rsidRDefault="00FD56B2" w:rsidP="00FD56B2">
            <w:pPr>
              <w:jc w:val="left"/>
            </w:pPr>
            <w:r w:rsidRPr="00CA076C">
              <w:t>-/-</w:t>
            </w:r>
          </w:p>
        </w:tc>
      </w:tr>
      <w:tr w:rsidR="00FD56B2" w:rsidRPr="00CA076C" w14:paraId="39E7A8AD" w14:textId="77777777" w:rsidTr="001E1797">
        <w:tc>
          <w:tcPr>
            <w:tcW w:w="5082" w:type="dxa"/>
          </w:tcPr>
          <w:p w14:paraId="19E8D742" w14:textId="77777777" w:rsidR="00FD56B2" w:rsidRPr="00CA076C" w:rsidRDefault="00FD56B2" w:rsidP="00FD56B2">
            <w:pPr>
              <w:jc w:val="left"/>
            </w:pPr>
            <w:r w:rsidRPr="00CA076C">
              <w:t>Art. 32 Abs. 1 lit. d:</w:t>
            </w:r>
          </w:p>
          <w:p w14:paraId="1496BE4B" w14:textId="77777777" w:rsidR="00FD56B2" w:rsidRPr="00CA076C" w:rsidRDefault="00FD56B2" w:rsidP="00FD56B2">
            <w:pPr>
              <w:jc w:val="left"/>
            </w:pPr>
            <w:r w:rsidRPr="00CA076C">
              <w:t xml:space="preserve">Beschreibung der Verfahren zur regelmäßigen Überprüfung, Bewertung und Evaluierung der Wirksamkeit der technischen und organisatorischen Maßnahmen zur Gewährleistung der Sicherheit der </w:t>
            </w:r>
            <w:r w:rsidRPr="00CA076C">
              <w:lastRenderedPageBreak/>
              <w:t>Verarbeitung</w:t>
            </w:r>
          </w:p>
        </w:tc>
        <w:tc>
          <w:tcPr>
            <w:tcW w:w="4206" w:type="dxa"/>
          </w:tcPr>
          <w:p w14:paraId="760F0960" w14:textId="77777777" w:rsidR="00FD56B2" w:rsidRPr="00CA076C" w:rsidRDefault="00FD56B2" w:rsidP="00FD56B2">
            <w:pPr>
              <w:jc w:val="left"/>
            </w:pPr>
            <w:r w:rsidRPr="00CA076C">
              <w:lastRenderedPageBreak/>
              <w:t>-/-</w:t>
            </w:r>
          </w:p>
        </w:tc>
      </w:tr>
    </w:tbl>
    <w:p w14:paraId="073ED7FB" w14:textId="77777777" w:rsidR="00FD56B2" w:rsidRPr="00CA076C" w:rsidRDefault="00FD56B2" w:rsidP="00FD56B2"/>
    <w:p w14:paraId="10F07793" w14:textId="77777777" w:rsidR="00060E26" w:rsidRPr="00CA076C" w:rsidRDefault="00060E26" w:rsidP="00FD56B2">
      <w:r w:rsidRPr="00CA076C">
        <w:t>Die heute bekannten Maßnahmenkataloge können auch weiterhin als Leitlinien dienen</w:t>
      </w:r>
      <w:r w:rsidRPr="00CA076C">
        <w:rPr>
          <w:rStyle w:val="Funotenzeichen"/>
        </w:rPr>
        <w:footnoteReference w:id="37"/>
      </w:r>
      <w:r w:rsidR="00585899" w:rsidRPr="00CA076C">
        <w:t>, denn natürlich werden die bisher getroffenen Sicherheitsmaßnahmen unter der DS-GVO nicht obsolet</w:t>
      </w:r>
      <w:r w:rsidRPr="00CA076C">
        <w:t xml:space="preserve">. </w:t>
      </w:r>
      <w:r w:rsidR="00141D6D" w:rsidRPr="00CA076C">
        <w:t>Allerdings ist darauf zu achten, dass die Maßnahmenkataloge auch nur die Maßnahmen enthalten, welche die entsprechende Verarbeitungssituation adressieren; eine Abarbeitung der Forderungen aus der Anlage zu § 9 BDSG ist allein schon unter dem Gesichtspunkt der erforderlichen europaweiten einheitlichen Auslegung der DS-GVO abzulehnen.</w:t>
      </w:r>
    </w:p>
    <w:p w14:paraId="74280F80" w14:textId="77777777" w:rsidR="00FD56B2" w:rsidRPr="00CA076C" w:rsidRDefault="00FD56B2" w:rsidP="00FD56B2">
      <w:r w:rsidRPr="00CA076C">
        <w:t>Im Whitepaper „Datenschutz-Folgenabschätzung - Ein Werkzeug für einen besseren Datenschutz“ werden den u.a. auch in der DS-GVO enthaltenen Schutzzielen entsprechende Maßnahmen zugeordnet. Dies erleichtert die Zuordnung der eigenen Maßnahmen zu den Schutzzielen der DS-GVO, wobei die nachfolgend dargestellte Tabelle aus dem Whitepaper die Zuordnung in Kurzfassung darstellt</w:t>
      </w:r>
      <w:r w:rsidRPr="00CA076C">
        <w:rPr>
          <w:rStyle w:val="Funotenzeichen"/>
        </w:rPr>
        <w:footnoteReference w:id="38"/>
      </w:r>
      <w:r w:rsidRPr="00CA076C">
        <w:t>:</w:t>
      </w:r>
    </w:p>
    <w:tbl>
      <w:tblPr>
        <w:tblStyle w:val="Tabellenraster"/>
        <w:tblW w:w="0" w:type="auto"/>
        <w:tblLook w:val="04A0" w:firstRow="1" w:lastRow="0" w:firstColumn="1" w:lastColumn="0" w:noHBand="0" w:noVBand="1"/>
      </w:tblPr>
      <w:tblGrid>
        <w:gridCol w:w="3070"/>
        <w:gridCol w:w="2425"/>
        <w:gridCol w:w="3717"/>
      </w:tblGrid>
      <w:tr w:rsidR="00FD56B2" w:rsidRPr="00CA076C" w14:paraId="28614A96" w14:textId="77777777" w:rsidTr="001E1797">
        <w:trPr>
          <w:tblHeader/>
        </w:trPr>
        <w:tc>
          <w:tcPr>
            <w:tcW w:w="3070" w:type="dxa"/>
            <w:vAlign w:val="center"/>
          </w:tcPr>
          <w:p w14:paraId="3FE79E2E" w14:textId="77777777" w:rsidR="00FD56B2" w:rsidRPr="00CA076C" w:rsidRDefault="00FD56B2" w:rsidP="001E1797">
            <w:pPr>
              <w:jc w:val="center"/>
              <w:rPr>
                <w:b/>
              </w:rPr>
            </w:pPr>
            <w:r w:rsidRPr="00CA076C">
              <w:rPr>
                <w:b/>
              </w:rPr>
              <w:t>Schutzziel</w:t>
            </w:r>
          </w:p>
        </w:tc>
        <w:tc>
          <w:tcPr>
            <w:tcW w:w="2425" w:type="dxa"/>
            <w:vAlign w:val="center"/>
          </w:tcPr>
          <w:p w14:paraId="33AC2E24" w14:textId="77777777" w:rsidR="00FD56B2" w:rsidRPr="00CA076C" w:rsidRDefault="00FD56B2" w:rsidP="001E1797">
            <w:pPr>
              <w:jc w:val="center"/>
              <w:rPr>
                <w:b/>
              </w:rPr>
            </w:pPr>
            <w:r w:rsidRPr="00CA076C">
              <w:rPr>
                <w:b/>
              </w:rPr>
              <w:t>Komponente</w:t>
            </w:r>
          </w:p>
        </w:tc>
        <w:tc>
          <w:tcPr>
            <w:tcW w:w="3717" w:type="dxa"/>
            <w:vAlign w:val="center"/>
          </w:tcPr>
          <w:p w14:paraId="6F72F657" w14:textId="77777777" w:rsidR="00FD56B2" w:rsidRPr="00CA076C" w:rsidRDefault="00FD56B2" w:rsidP="001E1797">
            <w:pPr>
              <w:jc w:val="center"/>
              <w:rPr>
                <w:b/>
              </w:rPr>
            </w:pPr>
            <w:r w:rsidRPr="00CA076C">
              <w:rPr>
                <w:b/>
              </w:rPr>
              <w:t>Maßnahmen</w:t>
            </w:r>
          </w:p>
        </w:tc>
      </w:tr>
      <w:tr w:rsidR="00FD56B2" w:rsidRPr="00CA076C" w14:paraId="7C428E0F" w14:textId="77777777" w:rsidTr="001E1797">
        <w:tc>
          <w:tcPr>
            <w:tcW w:w="3070" w:type="dxa"/>
          </w:tcPr>
          <w:p w14:paraId="37773462" w14:textId="77777777" w:rsidR="00FD56B2" w:rsidRPr="00CA076C" w:rsidRDefault="00FD56B2" w:rsidP="00FD56B2">
            <w:pPr>
              <w:jc w:val="left"/>
            </w:pPr>
            <w:r w:rsidRPr="00CA076C">
              <w:t>Sicherstellung von Verfügbarkeit</w:t>
            </w:r>
          </w:p>
        </w:tc>
        <w:tc>
          <w:tcPr>
            <w:tcW w:w="2425" w:type="dxa"/>
          </w:tcPr>
          <w:p w14:paraId="73216FE9" w14:textId="77777777" w:rsidR="00FD56B2" w:rsidRPr="00CA076C" w:rsidRDefault="00FD56B2" w:rsidP="00FD56B2">
            <w:pPr>
              <w:jc w:val="left"/>
            </w:pPr>
            <w:r w:rsidRPr="00CA076C">
              <w:t>Daten, Systeme, Prozesse</w:t>
            </w:r>
          </w:p>
        </w:tc>
        <w:tc>
          <w:tcPr>
            <w:tcW w:w="3717" w:type="dxa"/>
          </w:tcPr>
          <w:p w14:paraId="64CF3574" w14:textId="77777777" w:rsidR="00FD56B2" w:rsidRPr="00CA076C" w:rsidRDefault="00FD56B2" w:rsidP="00FD56B2">
            <w:pPr>
              <w:jc w:val="left"/>
            </w:pPr>
            <w:r w:rsidRPr="00CA076C">
              <w:t>Redundanz, Schutz, Reparaturstrategie</w:t>
            </w:r>
          </w:p>
        </w:tc>
      </w:tr>
      <w:tr w:rsidR="00FD56B2" w:rsidRPr="00CA076C" w14:paraId="3B91F887" w14:textId="77777777" w:rsidTr="001E1797">
        <w:tc>
          <w:tcPr>
            <w:tcW w:w="3070" w:type="dxa"/>
            <w:vMerge w:val="restart"/>
            <w:vAlign w:val="center"/>
          </w:tcPr>
          <w:p w14:paraId="2050DD5F" w14:textId="77777777" w:rsidR="00FD56B2" w:rsidRPr="00CA076C" w:rsidRDefault="00FD56B2" w:rsidP="00FD56B2">
            <w:pPr>
              <w:jc w:val="left"/>
            </w:pPr>
            <w:r w:rsidRPr="00CA076C">
              <w:t>Sicherstellung von Integrität</w:t>
            </w:r>
          </w:p>
        </w:tc>
        <w:tc>
          <w:tcPr>
            <w:tcW w:w="2425" w:type="dxa"/>
          </w:tcPr>
          <w:p w14:paraId="59494C2B" w14:textId="77777777" w:rsidR="00FD56B2" w:rsidRPr="00CA076C" w:rsidRDefault="00FD56B2" w:rsidP="00FD56B2">
            <w:pPr>
              <w:jc w:val="left"/>
            </w:pPr>
            <w:r w:rsidRPr="00CA076C">
              <w:t>Daten</w:t>
            </w:r>
          </w:p>
        </w:tc>
        <w:tc>
          <w:tcPr>
            <w:tcW w:w="3717" w:type="dxa"/>
          </w:tcPr>
          <w:p w14:paraId="6BFBF279" w14:textId="77777777" w:rsidR="00FD56B2" w:rsidRPr="00CA076C" w:rsidRDefault="00FD56B2" w:rsidP="00FD56B2">
            <w:pPr>
              <w:jc w:val="left"/>
            </w:pPr>
            <w:r w:rsidRPr="00CA076C">
              <w:t>Hash-Wert-Vergleich</w:t>
            </w:r>
          </w:p>
        </w:tc>
      </w:tr>
      <w:tr w:rsidR="00FD56B2" w:rsidRPr="00CA076C" w14:paraId="31C4A0C6" w14:textId="77777777" w:rsidTr="001E1797">
        <w:tc>
          <w:tcPr>
            <w:tcW w:w="3070" w:type="dxa"/>
            <w:vMerge/>
          </w:tcPr>
          <w:p w14:paraId="69F83486" w14:textId="77777777" w:rsidR="00FD56B2" w:rsidRPr="00CA076C" w:rsidRDefault="00FD56B2" w:rsidP="00FD56B2">
            <w:pPr>
              <w:jc w:val="left"/>
            </w:pPr>
          </w:p>
        </w:tc>
        <w:tc>
          <w:tcPr>
            <w:tcW w:w="2425" w:type="dxa"/>
          </w:tcPr>
          <w:p w14:paraId="7203DE94" w14:textId="77777777" w:rsidR="00FD56B2" w:rsidRPr="00CA076C" w:rsidRDefault="00FD56B2" w:rsidP="00FD56B2">
            <w:pPr>
              <w:jc w:val="left"/>
            </w:pPr>
            <w:r w:rsidRPr="00CA076C">
              <w:t>Systeme</w:t>
            </w:r>
          </w:p>
        </w:tc>
        <w:tc>
          <w:tcPr>
            <w:tcW w:w="3717" w:type="dxa"/>
          </w:tcPr>
          <w:p w14:paraId="197ED52B" w14:textId="77777777" w:rsidR="00FD56B2" w:rsidRPr="00CA076C" w:rsidRDefault="00FD56B2" w:rsidP="00FD56B2">
            <w:pPr>
              <w:jc w:val="left"/>
            </w:pPr>
            <w:r w:rsidRPr="00CA076C">
              <w:t>Einschränkung von Schreibrechten, regelmäßige Integritätsprüfungen</w:t>
            </w:r>
          </w:p>
        </w:tc>
      </w:tr>
      <w:tr w:rsidR="00FD56B2" w:rsidRPr="00CA076C" w14:paraId="33055779" w14:textId="77777777" w:rsidTr="001E1797">
        <w:tc>
          <w:tcPr>
            <w:tcW w:w="3070" w:type="dxa"/>
            <w:vMerge/>
          </w:tcPr>
          <w:p w14:paraId="5F5890B6" w14:textId="77777777" w:rsidR="00FD56B2" w:rsidRPr="00CA076C" w:rsidRDefault="00FD56B2" w:rsidP="00FD56B2">
            <w:pPr>
              <w:jc w:val="left"/>
            </w:pPr>
          </w:p>
        </w:tc>
        <w:tc>
          <w:tcPr>
            <w:tcW w:w="2425" w:type="dxa"/>
          </w:tcPr>
          <w:p w14:paraId="63B48C94" w14:textId="77777777" w:rsidR="00FD56B2" w:rsidRPr="00CA076C" w:rsidRDefault="00FD56B2" w:rsidP="00FD56B2">
            <w:pPr>
              <w:jc w:val="left"/>
            </w:pPr>
            <w:r w:rsidRPr="00CA076C">
              <w:t>Prozesse</w:t>
            </w:r>
          </w:p>
        </w:tc>
        <w:tc>
          <w:tcPr>
            <w:tcW w:w="3717" w:type="dxa"/>
          </w:tcPr>
          <w:p w14:paraId="2081EA47" w14:textId="77777777" w:rsidR="00FD56B2" w:rsidRPr="00CA076C" w:rsidRDefault="00FD56B2" w:rsidP="00FD56B2">
            <w:pPr>
              <w:jc w:val="left"/>
            </w:pPr>
            <w:r w:rsidRPr="00CA076C">
              <w:t>Festlegung von Referenzwerten (min/</w:t>
            </w:r>
            <w:proofErr w:type="spellStart"/>
            <w:r w:rsidRPr="00CA076C">
              <w:t>max</w:t>
            </w:r>
            <w:proofErr w:type="spellEnd"/>
            <w:r w:rsidRPr="00CA076C">
              <w:t>), Steuerung der Regulation</w:t>
            </w:r>
          </w:p>
        </w:tc>
      </w:tr>
      <w:tr w:rsidR="00FD56B2" w:rsidRPr="00CA076C" w14:paraId="12ABA21F" w14:textId="77777777" w:rsidTr="001E1797">
        <w:tc>
          <w:tcPr>
            <w:tcW w:w="3070" w:type="dxa"/>
            <w:vMerge w:val="restart"/>
            <w:vAlign w:val="center"/>
          </w:tcPr>
          <w:p w14:paraId="6EF980D7" w14:textId="77777777" w:rsidR="00FD56B2" w:rsidRPr="00CA076C" w:rsidRDefault="00FD56B2" w:rsidP="00FD56B2">
            <w:pPr>
              <w:jc w:val="left"/>
            </w:pPr>
            <w:r w:rsidRPr="00CA076C">
              <w:t>Sicherstellung von Vertraulichkeit</w:t>
            </w:r>
          </w:p>
        </w:tc>
        <w:tc>
          <w:tcPr>
            <w:tcW w:w="2425" w:type="dxa"/>
          </w:tcPr>
          <w:p w14:paraId="74D0A7AC" w14:textId="77777777" w:rsidR="00FD56B2" w:rsidRPr="00CA076C" w:rsidRDefault="00FD56B2" w:rsidP="00FD56B2">
            <w:pPr>
              <w:jc w:val="left"/>
            </w:pPr>
            <w:r w:rsidRPr="00CA076C">
              <w:t>Daten, Systeme</w:t>
            </w:r>
          </w:p>
        </w:tc>
        <w:tc>
          <w:tcPr>
            <w:tcW w:w="3717" w:type="dxa"/>
          </w:tcPr>
          <w:p w14:paraId="03BD5D29" w14:textId="77777777" w:rsidR="00FD56B2" w:rsidRPr="00CA076C" w:rsidRDefault="00FD56B2" w:rsidP="00FD56B2">
            <w:pPr>
              <w:jc w:val="left"/>
            </w:pPr>
            <w:r w:rsidRPr="00CA076C">
              <w:t>Verschlüsselung</w:t>
            </w:r>
          </w:p>
        </w:tc>
      </w:tr>
      <w:tr w:rsidR="00FD56B2" w:rsidRPr="00CA076C" w14:paraId="7208AFF2" w14:textId="77777777" w:rsidTr="001E1797">
        <w:tc>
          <w:tcPr>
            <w:tcW w:w="3070" w:type="dxa"/>
            <w:vMerge/>
          </w:tcPr>
          <w:p w14:paraId="5D7749E4" w14:textId="77777777" w:rsidR="00FD56B2" w:rsidRPr="00CA076C" w:rsidRDefault="00FD56B2" w:rsidP="00FD56B2">
            <w:pPr>
              <w:jc w:val="left"/>
            </w:pPr>
          </w:p>
        </w:tc>
        <w:tc>
          <w:tcPr>
            <w:tcW w:w="2425" w:type="dxa"/>
          </w:tcPr>
          <w:p w14:paraId="445A865F" w14:textId="77777777" w:rsidR="00FD56B2" w:rsidRPr="00CA076C" w:rsidRDefault="00FD56B2" w:rsidP="00FD56B2">
            <w:pPr>
              <w:jc w:val="left"/>
            </w:pPr>
            <w:r w:rsidRPr="00CA076C">
              <w:t>Prozesse</w:t>
            </w:r>
          </w:p>
        </w:tc>
        <w:tc>
          <w:tcPr>
            <w:tcW w:w="3717" w:type="dxa"/>
          </w:tcPr>
          <w:p w14:paraId="5FE1BC7B" w14:textId="77777777" w:rsidR="00FD56B2" w:rsidRPr="00CA076C" w:rsidRDefault="00FD56B2" w:rsidP="00FD56B2">
            <w:pPr>
              <w:jc w:val="left"/>
            </w:pPr>
            <w:r w:rsidRPr="00CA076C">
              <w:t>Rechte- und Rollenkonzepte</w:t>
            </w:r>
          </w:p>
        </w:tc>
      </w:tr>
      <w:tr w:rsidR="00FD56B2" w:rsidRPr="00CA076C" w14:paraId="0ACB6327" w14:textId="77777777" w:rsidTr="001E1797">
        <w:tc>
          <w:tcPr>
            <w:tcW w:w="3070" w:type="dxa"/>
            <w:vMerge w:val="restart"/>
            <w:vAlign w:val="center"/>
          </w:tcPr>
          <w:p w14:paraId="5252BB04" w14:textId="77777777" w:rsidR="00FD56B2" w:rsidRPr="00CA076C" w:rsidRDefault="00FD56B2" w:rsidP="00FD56B2">
            <w:pPr>
              <w:jc w:val="left"/>
            </w:pPr>
            <w:r w:rsidRPr="00CA076C">
              <w:t xml:space="preserve">Sicherstellung von </w:t>
            </w:r>
            <w:proofErr w:type="spellStart"/>
            <w:r w:rsidRPr="00CA076C">
              <w:t>Nichtverkettbarkeit</w:t>
            </w:r>
            <w:proofErr w:type="spellEnd"/>
            <w:r w:rsidRPr="00CA076C">
              <w:t xml:space="preserve"> durch Zweckbestimmung</w:t>
            </w:r>
          </w:p>
        </w:tc>
        <w:tc>
          <w:tcPr>
            <w:tcW w:w="2425" w:type="dxa"/>
          </w:tcPr>
          <w:p w14:paraId="4ADD7C11" w14:textId="77777777" w:rsidR="00FD56B2" w:rsidRPr="00CA076C" w:rsidRDefault="00FD56B2" w:rsidP="00FD56B2">
            <w:pPr>
              <w:jc w:val="left"/>
            </w:pPr>
            <w:r w:rsidRPr="00CA076C">
              <w:t>Daten</w:t>
            </w:r>
          </w:p>
        </w:tc>
        <w:tc>
          <w:tcPr>
            <w:tcW w:w="3717" w:type="dxa"/>
          </w:tcPr>
          <w:p w14:paraId="2DED7C6E" w14:textId="77777777" w:rsidR="00FD56B2" w:rsidRPr="00CA076C" w:rsidRDefault="00FD56B2" w:rsidP="00FD56B2">
            <w:pPr>
              <w:jc w:val="left"/>
            </w:pPr>
            <w:r w:rsidRPr="00CA076C">
              <w:t xml:space="preserve">Nutzung anonymer Daten, Pseudonymisierung, attributbasierte </w:t>
            </w:r>
            <w:proofErr w:type="spellStart"/>
            <w:r w:rsidRPr="00CA076C">
              <w:t>Credentials</w:t>
            </w:r>
            <w:proofErr w:type="spellEnd"/>
          </w:p>
        </w:tc>
      </w:tr>
      <w:tr w:rsidR="00FD56B2" w:rsidRPr="00CA076C" w14:paraId="1427C6B5" w14:textId="77777777" w:rsidTr="001E1797">
        <w:tc>
          <w:tcPr>
            <w:tcW w:w="3070" w:type="dxa"/>
            <w:vMerge/>
          </w:tcPr>
          <w:p w14:paraId="37A784D1" w14:textId="77777777" w:rsidR="00FD56B2" w:rsidRPr="00CA076C" w:rsidRDefault="00FD56B2" w:rsidP="00FD56B2">
            <w:pPr>
              <w:jc w:val="left"/>
            </w:pPr>
          </w:p>
        </w:tc>
        <w:tc>
          <w:tcPr>
            <w:tcW w:w="2425" w:type="dxa"/>
          </w:tcPr>
          <w:p w14:paraId="309F21DD" w14:textId="77777777" w:rsidR="00FD56B2" w:rsidRPr="00CA076C" w:rsidRDefault="00FD56B2" w:rsidP="00FD56B2">
            <w:pPr>
              <w:jc w:val="left"/>
            </w:pPr>
            <w:r w:rsidRPr="00CA076C">
              <w:t>Systeme</w:t>
            </w:r>
          </w:p>
        </w:tc>
        <w:tc>
          <w:tcPr>
            <w:tcW w:w="3717" w:type="dxa"/>
          </w:tcPr>
          <w:p w14:paraId="63E2F041" w14:textId="77777777" w:rsidR="00FD56B2" w:rsidRPr="00CA076C" w:rsidRDefault="00FD56B2" w:rsidP="00FD56B2">
            <w:pPr>
              <w:jc w:val="left"/>
            </w:pPr>
            <w:r w:rsidRPr="00CA076C">
              <w:t>Trennung (Isolierung) von Datenbeständen, Systemen und Prozessen</w:t>
            </w:r>
          </w:p>
        </w:tc>
      </w:tr>
      <w:tr w:rsidR="00FD56B2" w:rsidRPr="00CA076C" w14:paraId="5C4566B6" w14:textId="77777777" w:rsidTr="001E1797">
        <w:tc>
          <w:tcPr>
            <w:tcW w:w="3070" w:type="dxa"/>
            <w:vMerge/>
          </w:tcPr>
          <w:p w14:paraId="54FEC01B" w14:textId="77777777" w:rsidR="00FD56B2" w:rsidRPr="00CA076C" w:rsidRDefault="00FD56B2" w:rsidP="00FD56B2">
            <w:pPr>
              <w:jc w:val="left"/>
            </w:pPr>
          </w:p>
        </w:tc>
        <w:tc>
          <w:tcPr>
            <w:tcW w:w="2425" w:type="dxa"/>
          </w:tcPr>
          <w:p w14:paraId="4C1CA80B" w14:textId="77777777" w:rsidR="00FD56B2" w:rsidRPr="00CA076C" w:rsidRDefault="00FD56B2" w:rsidP="00FD56B2">
            <w:pPr>
              <w:jc w:val="left"/>
            </w:pPr>
            <w:r w:rsidRPr="00CA076C">
              <w:t>Prozesse</w:t>
            </w:r>
          </w:p>
        </w:tc>
        <w:tc>
          <w:tcPr>
            <w:tcW w:w="3717" w:type="dxa"/>
          </w:tcPr>
          <w:p w14:paraId="02679ED8" w14:textId="77777777" w:rsidR="00FD56B2" w:rsidRPr="00CA076C" w:rsidRDefault="00FD56B2" w:rsidP="00FD56B2">
            <w:pPr>
              <w:jc w:val="left"/>
            </w:pPr>
            <w:r w:rsidRPr="00CA076C">
              <w:t>Identity Management, Anonymitätsinfrastrukturen, Audits</w:t>
            </w:r>
          </w:p>
        </w:tc>
      </w:tr>
      <w:tr w:rsidR="00FD56B2" w:rsidRPr="00CA076C" w14:paraId="5982D693" w14:textId="77777777" w:rsidTr="001E1797">
        <w:tc>
          <w:tcPr>
            <w:tcW w:w="3070" w:type="dxa"/>
            <w:vMerge w:val="restart"/>
            <w:vAlign w:val="center"/>
          </w:tcPr>
          <w:p w14:paraId="6D822E55" w14:textId="77777777" w:rsidR="00FD56B2" w:rsidRPr="00CA076C" w:rsidRDefault="00FD56B2" w:rsidP="00FD56B2">
            <w:pPr>
              <w:jc w:val="left"/>
            </w:pPr>
            <w:r w:rsidRPr="00CA076C">
              <w:t>Sicherstellung von Transparenz durch Prüffähigkeit</w:t>
            </w:r>
          </w:p>
        </w:tc>
        <w:tc>
          <w:tcPr>
            <w:tcW w:w="2425" w:type="dxa"/>
          </w:tcPr>
          <w:p w14:paraId="36385808" w14:textId="77777777" w:rsidR="00FD56B2" w:rsidRPr="00CA076C" w:rsidRDefault="00FD56B2" w:rsidP="00FD56B2">
            <w:pPr>
              <w:jc w:val="left"/>
            </w:pPr>
            <w:r w:rsidRPr="00CA076C">
              <w:t>Daten</w:t>
            </w:r>
          </w:p>
        </w:tc>
        <w:tc>
          <w:tcPr>
            <w:tcW w:w="3717" w:type="dxa"/>
          </w:tcPr>
          <w:p w14:paraId="2A960D24" w14:textId="77777777" w:rsidR="00FD56B2" w:rsidRPr="00CA076C" w:rsidRDefault="00FD56B2" w:rsidP="00FD56B2">
            <w:pPr>
              <w:jc w:val="left"/>
            </w:pPr>
            <w:r w:rsidRPr="00CA076C">
              <w:t>Dokumentation, Protokollierung</w:t>
            </w:r>
          </w:p>
        </w:tc>
      </w:tr>
      <w:tr w:rsidR="00FD56B2" w:rsidRPr="00CA076C" w14:paraId="5B49E359" w14:textId="77777777" w:rsidTr="001E1797">
        <w:tc>
          <w:tcPr>
            <w:tcW w:w="3070" w:type="dxa"/>
            <w:vMerge/>
          </w:tcPr>
          <w:p w14:paraId="0B6E9D99" w14:textId="77777777" w:rsidR="00FD56B2" w:rsidRPr="00CA076C" w:rsidRDefault="00FD56B2" w:rsidP="00FD56B2">
            <w:pPr>
              <w:jc w:val="left"/>
            </w:pPr>
          </w:p>
        </w:tc>
        <w:tc>
          <w:tcPr>
            <w:tcW w:w="2425" w:type="dxa"/>
          </w:tcPr>
          <w:p w14:paraId="2DA0A20B" w14:textId="77777777" w:rsidR="00FD56B2" w:rsidRPr="00CA076C" w:rsidRDefault="00FD56B2" w:rsidP="00FD56B2">
            <w:pPr>
              <w:jc w:val="left"/>
            </w:pPr>
            <w:r w:rsidRPr="00CA076C">
              <w:t>Systeme</w:t>
            </w:r>
          </w:p>
        </w:tc>
        <w:tc>
          <w:tcPr>
            <w:tcW w:w="3717" w:type="dxa"/>
          </w:tcPr>
          <w:p w14:paraId="067540F6" w14:textId="77777777" w:rsidR="00FD56B2" w:rsidRPr="00CA076C" w:rsidRDefault="00FD56B2" w:rsidP="00FD56B2">
            <w:pPr>
              <w:jc w:val="left"/>
            </w:pPr>
            <w:r w:rsidRPr="00CA076C">
              <w:t>Systemdokumentation, Protokollierung von Konfigurationsänderungen</w:t>
            </w:r>
          </w:p>
        </w:tc>
      </w:tr>
      <w:tr w:rsidR="00FD56B2" w:rsidRPr="00CA076C" w14:paraId="06CE8343" w14:textId="77777777" w:rsidTr="001E1797">
        <w:tc>
          <w:tcPr>
            <w:tcW w:w="3070" w:type="dxa"/>
            <w:vMerge/>
          </w:tcPr>
          <w:p w14:paraId="3CA3C033" w14:textId="77777777" w:rsidR="00FD56B2" w:rsidRPr="00CA076C" w:rsidRDefault="00FD56B2" w:rsidP="00FD56B2">
            <w:pPr>
              <w:jc w:val="left"/>
            </w:pPr>
          </w:p>
        </w:tc>
        <w:tc>
          <w:tcPr>
            <w:tcW w:w="2425" w:type="dxa"/>
          </w:tcPr>
          <w:p w14:paraId="71112975" w14:textId="77777777" w:rsidR="00FD56B2" w:rsidRPr="00CA076C" w:rsidRDefault="00FD56B2" w:rsidP="00FD56B2">
            <w:pPr>
              <w:jc w:val="left"/>
            </w:pPr>
            <w:r w:rsidRPr="00CA076C">
              <w:t>Prozesse</w:t>
            </w:r>
          </w:p>
        </w:tc>
        <w:tc>
          <w:tcPr>
            <w:tcW w:w="3717" w:type="dxa"/>
          </w:tcPr>
          <w:p w14:paraId="3A7071E7" w14:textId="77777777" w:rsidR="00FD56B2" w:rsidRPr="00CA076C" w:rsidRDefault="00FD56B2" w:rsidP="00FD56B2">
            <w:pPr>
              <w:jc w:val="left"/>
            </w:pPr>
            <w:r w:rsidRPr="00CA076C">
              <w:t>Dokumentation von Verfahren, Protokollierung</w:t>
            </w:r>
          </w:p>
        </w:tc>
      </w:tr>
      <w:tr w:rsidR="00FD56B2" w:rsidRPr="00CA076C" w14:paraId="6B07EBB3" w14:textId="77777777" w:rsidTr="001E1797">
        <w:tc>
          <w:tcPr>
            <w:tcW w:w="3070" w:type="dxa"/>
            <w:vMerge w:val="restart"/>
            <w:vAlign w:val="center"/>
          </w:tcPr>
          <w:p w14:paraId="3B8E5ABC" w14:textId="77777777" w:rsidR="00FD56B2" w:rsidRPr="00CA076C" w:rsidRDefault="00FD56B2" w:rsidP="00FD56B2">
            <w:pPr>
              <w:jc w:val="left"/>
            </w:pPr>
            <w:r w:rsidRPr="00CA076C">
              <w:t>Sicherstellung von Intervenierbarkeit durch Ankerpunkte</w:t>
            </w:r>
          </w:p>
        </w:tc>
        <w:tc>
          <w:tcPr>
            <w:tcW w:w="2425" w:type="dxa"/>
          </w:tcPr>
          <w:p w14:paraId="5F3BBD61" w14:textId="77777777" w:rsidR="00FD56B2" w:rsidRPr="00CA076C" w:rsidRDefault="00FD56B2" w:rsidP="00FD56B2">
            <w:pPr>
              <w:jc w:val="left"/>
            </w:pPr>
            <w:r w:rsidRPr="00CA076C">
              <w:t>Daten</w:t>
            </w:r>
          </w:p>
        </w:tc>
        <w:tc>
          <w:tcPr>
            <w:tcW w:w="3717" w:type="dxa"/>
          </w:tcPr>
          <w:p w14:paraId="11DD1F56" w14:textId="77777777" w:rsidR="00FD56B2" w:rsidRPr="00CA076C" w:rsidRDefault="00FD56B2" w:rsidP="00FD56B2">
            <w:pPr>
              <w:jc w:val="left"/>
            </w:pPr>
            <w:r w:rsidRPr="00CA076C">
              <w:t>Zugriff auf Daten für den Betroffenen (Auskunft, Berichtigung, Sperrung, Löschung)</w:t>
            </w:r>
          </w:p>
        </w:tc>
      </w:tr>
      <w:tr w:rsidR="00FD56B2" w:rsidRPr="00CA076C" w14:paraId="10ACD243" w14:textId="77777777" w:rsidTr="001E1797">
        <w:tc>
          <w:tcPr>
            <w:tcW w:w="3070" w:type="dxa"/>
            <w:vMerge/>
          </w:tcPr>
          <w:p w14:paraId="29EA1A7B" w14:textId="77777777" w:rsidR="00FD56B2" w:rsidRPr="00CA076C" w:rsidRDefault="00FD56B2" w:rsidP="00FD56B2">
            <w:pPr>
              <w:jc w:val="left"/>
            </w:pPr>
          </w:p>
        </w:tc>
        <w:tc>
          <w:tcPr>
            <w:tcW w:w="2425" w:type="dxa"/>
          </w:tcPr>
          <w:p w14:paraId="15069C41" w14:textId="77777777" w:rsidR="00FD56B2" w:rsidRPr="00CA076C" w:rsidRDefault="00FD56B2" w:rsidP="00FD56B2">
            <w:pPr>
              <w:jc w:val="left"/>
            </w:pPr>
            <w:r w:rsidRPr="00CA076C">
              <w:t>Prozesse</w:t>
            </w:r>
          </w:p>
        </w:tc>
        <w:tc>
          <w:tcPr>
            <w:tcW w:w="3717" w:type="dxa"/>
          </w:tcPr>
          <w:p w14:paraId="39A52C9A" w14:textId="77777777" w:rsidR="00FD56B2" w:rsidRPr="00CA076C" w:rsidRDefault="00FD56B2" w:rsidP="00FD56B2">
            <w:pPr>
              <w:jc w:val="left"/>
            </w:pPr>
            <w:r w:rsidRPr="00CA076C">
              <w:t xml:space="preserve">Helpdesk/einheitlicher </w:t>
            </w:r>
            <w:r w:rsidRPr="00CA076C">
              <w:lastRenderedPageBreak/>
              <w:t>Ansprechpartner für Änderungen/Löschungen, Change Management</w:t>
            </w:r>
          </w:p>
        </w:tc>
      </w:tr>
    </w:tbl>
    <w:p w14:paraId="510AFE4D" w14:textId="77777777" w:rsidR="00FD56B2" w:rsidRPr="00CA076C" w:rsidRDefault="00FD56B2" w:rsidP="00FD56B2"/>
    <w:p w14:paraId="2DCA9F06" w14:textId="77777777" w:rsidR="004B7080" w:rsidRPr="00CA076C" w:rsidRDefault="004B7080" w:rsidP="004B7080">
      <w:pPr>
        <w:pStyle w:val="berschrift1"/>
      </w:pPr>
      <w:bookmarkStart w:id="117" w:name="_Toc503456524"/>
      <w:r w:rsidRPr="00CA076C">
        <w:t>Sanktionierung</w:t>
      </w:r>
      <w:bookmarkEnd w:id="117"/>
    </w:p>
    <w:p w14:paraId="514374DB" w14:textId="77777777" w:rsidR="004B7080" w:rsidRPr="00C5624F" w:rsidRDefault="004B7080" w:rsidP="004B7080">
      <w:r w:rsidRPr="00CA076C">
        <w:t xml:space="preserve">Die DS-GVO selbst sanktioniert Verstöße gegen verschiedene Vorschriften der DS-GVO mit Bußgeldern. Die zu verhängenden Bußgelder sind verwaltungsrechtlicher Art und können von den jeweils zuständigen Aufsichtsbehörden verhängt werden. Dabei gibt es das „kleine“ Bußgeld mit Geldbußen von bis zu 10.000.000 Euro oder – sofern dies einen höheren Betrag darstellt - im Fall eines Unternehmens von bis zu 2% seines gesamten weltweit erzielten Jahresumsatzes des vorangegangenen Geschäftsjahrs. Darüber hinaus sieht die DS-GVO auch ein „großes“ Bußgeld mit Geldbußen von bis zu 20.000.000 Euro oder im Fall eines Unternehmens von bis zu 4% seines gesamten weltweit erzielten Jahresumsatzes des vorangegangenen Geschäftsjahrs vor, </w:t>
      </w:r>
      <w:r w:rsidRPr="00C5624F">
        <w:t>je nachdem, welcher der Beträge höher ist.</w:t>
      </w:r>
    </w:p>
    <w:p w14:paraId="23E6E0EF" w14:textId="49340E4F" w:rsidR="001E1797" w:rsidRPr="00C5624F" w:rsidRDefault="004B7080" w:rsidP="001E1797">
      <w:r w:rsidRPr="00C5624F">
        <w:t>Werden die Vorgaben aus Art. 32 DS-GVO von einem Verantwortlichen nicht eingehalten, so findet das „kleinere“ Bußgeld (von bis zu 10.000.000 Euro bzw. 2 % des weltweit erzielten Umsatzes, s.o.) Anwendung.</w:t>
      </w:r>
    </w:p>
    <w:p w14:paraId="6B4FEF76" w14:textId="77777777" w:rsidR="004B7080" w:rsidRPr="00CA076C" w:rsidRDefault="004B7080" w:rsidP="00EC6A40">
      <w:pPr>
        <w:spacing w:after="80"/>
      </w:pPr>
      <w:r w:rsidRPr="00CA076C">
        <w:t>Bei der Verhängung des Bußgeldes sind auch die Vorgaben von Art. 83 Abs. 2 lit. a-k DS-GVO zu berücksichtigen, insbesondere sind hierbei zu beachten:</w:t>
      </w:r>
    </w:p>
    <w:tbl>
      <w:tblPr>
        <w:tblStyle w:val="Tabellenraster"/>
        <w:tblW w:w="0" w:type="auto"/>
        <w:tblInd w:w="675" w:type="dxa"/>
        <w:tblLook w:val="04A0" w:firstRow="1" w:lastRow="0" w:firstColumn="1" w:lastColumn="0" w:noHBand="0" w:noVBand="1"/>
      </w:tblPr>
      <w:tblGrid>
        <w:gridCol w:w="2552"/>
        <w:gridCol w:w="5985"/>
      </w:tblGrid>
      <w:tr w:rsidR="00C55D2B" w:rsidRPr="00CA076C" w14:paraId="3520E25A" w14:textId="77777777" w:rsidTr="00C55D2B">
        <w:tc>
          <w:tcPr>
            <w:tcW w:w="2552" w:type="dxa"/>
          </w:tcPr>
          <w:p w14:paraId="74A27C5F" w14:textId="77777777" w:rsidR="00C55D2B" w:rsidRPr="00CA076C" w:rsidRDefault="00C55D2B" w:rsidP="00C55D2B">
            <w:pPr>
              <w:jc w:val="left"/>
            </w:pPr>
            <w:r w:rsidRPr="00CA076C">
              <w:t>Art, Schwere und Dauer des Verstoßes</w:t>
            </w:r>
            <w:r w:rsidRPr="00CA076C">
              <w:br/>
              <w:t>(Art. 83 Abs. 2 lit. a)</w:t>
            </w:r>
          </w:p>
        </w:tc>
        <w:tc>
          <w:tcPr>
            <w:tcW w:w="5985" w:type="dxa"/>
          </w:tcPr>
          <w:p w14:paraId="188A481E" w14:textId="77777777" w:rsidR="00C55D2B" w:rsidRPr="00CA076C" w:rsidRDefault="00C55D2B" w:rsidP="00C55D2B">
            <w:pPr>
              <w:jc w:val="left"/>
            </w:pPr>
            <w:r w:rsidRPr="00CA076C">
              <w:t>Hierzu ist z. B. zu betrachten:</w:t>
            </w:r>
          </w:p>
          <w:p w14:paraId="0BFD6744" w14:textId="77777777" w:rsidR="00C55D2B" w:rsidRPr="00CA076C" w:rsidRDefault="00C55D2B" w:rsidP="00C55D2B">
            <w:pPr>
              <w:pStyle w:val="Listenabsatz"/>
              <w:numPr>
                <w:ilvl w:val="0"/>
                <w:numId w:val="36"/>
              </w:numPr>
              <w:ind w:left="356"/>
              <w:jc w:val="left"/>
            </w:pPr>
            <w:r w:rsidRPr="00CA076C">
              <w:t>Liegt ein genereller Verstoß vor, d. h. man kann generell der gesetzlichen Pflicht nicht genügen?</w:t>
            </w:r>
          </w:p>
          <w:p w14:paraId="136F504E" w14:textId="77777777" w:rsidR="00C55D2B" w:rsidRPr="00CA076C" w:rsidRDefault="00C55D2B" w:rsidP="00C55D2B">
            <w:pPr>
              <w:pStyle w:val="Listenabsatz"/>
              <w:numPr>
                <w:ilvl w:val="0"/>
                <w:numId w:val="36"/>
              </w:numPr>
              <w:ind w:left="356"/>
              <w:jc w:val="left"/>
            </w:pPr>
            <w:r w:rsidRPr="00CA076C">
              <w:t>Sind es nur die konkreten Umstände des Einzelfalles, die ein Genügen der gesetzlichen Pflicht verhindern?</w:t>
            </w:r>
          </w:p>
          <w:p w14:paraId="30688772" w14:textId="77777777" w:rsidR="00C55D2B" w:rsidRPr="00CA076C" w:rsidRDefault="00C55D2B" w:rsidP="00C55D2B">
            <w:pPr>
              <w:pStyle w:val="Listenabsatz"/>
              <w:numPr>
                <w:ilvl w:val="0"/>
                <w:numId w:val="36"/>
              </w:numPr>
              <w:tabs>
                <w:tab w:val="num" w:pos="3227"/>
              </w:tabs>
              <w:ind w:left="675"/>
              <w:jc w:val="left"/>
            </w:pPr>
            <w:r w:rsidRPr="00CA076C">
              <w:t>Wie groß ist der potentielle Schaden für jeden einzelnen Betroffenen? Wie groß ist der Schaden insgesamt?</w:t>
            </w:r>
          </w:p>
        </w:tc>
      </w:tr>
      <w:tr w:rsidR="00C55D2B" w:rsidRPr="00CA076C" w14:paraId="266EDFE6" w14:textId="77777777" w:rsidTr="00C55D2B">
        <w:tc>
          <w:tcPr>
            <w:tcW w:w="2552" w:type="dxa"/>
          </w:tcPr>
          <w:p w14:paraId="49986A8A" w14:textId="77777777" w:rsidR="00C55D2B" w:rsidRPr="00CA076C" w:rsidRDefault="00C55D2B" w:rsidP="00C55D2B">
            <w:pPr>
              <w:jc w:val="left"/>
            </w:pPr>
            <w:r w:rsidRPr="00CA076C">
              <w:t>Vorsätzlichkeit oder Fahrlässigkeit des Verstoßes</w:t>
            </w:r>
            <w:r w:rsidRPr="00CA076C">
              <w:br/>
              <w:t>(Art. 83 Abs. 2 lit. b)</w:t>
            </w:r>
          </w:p>
        </w:tc>
        <w:tc>
          <w:tcPr>
            <w:tcW w:w="5985" w:type="dxa"/>
          </w:tcPr>
          <w:p w14:paraId="773C13C9" w14:textId="77777777" w:rsidR="00C55D2B" w:rsidRPr="00CA076C" w:rsidRDefault="00C55D2B" w:rsidP="00C55D2B">
            <w:pPr>
              <w:jc w:val="left"/>
            </w:pPr>
            <w:r w:rsidRPr="00CA076C">
              <w:t>Hierzu ist z. B. zu betrachten:</w:t>
            </w:r>
          </w:p>
          <w:p w14:paraId="56CFF630" w14:textId="77777777" w:rsidR="00C55D2B" w:rsidRPr="00CA076C" w:rsidRDefault="00C55D2B" w:rsidP="00C55D2B">
            <w:pPr>
              <w:pStyle w:val="Listenabsatz"/>
              <w:numPr>
                <w:ilvl w:val="0"/>
                <w:numId w:val="36"/>
              </w:numPr>
              <w:ind w:left="356"/>
              <w:jc w:val="left"/>
            </w:pPr>
            <w:r w:rsidRPr="00CA076C">
              <w:t>Wurde die gesetzliche Pflicht vom Verantwortlichen im Ablauf seiner Prozesse ignoriert?</w:t>
            </w:r>
          </w:p>
          <w:p w14:paraId="03246622" w14:textId="77777777" w:rsidR="00C55D2B" w:rsidRPr="00CA076C" w:rsidRDefault="00C55D2B" w:rsidP="00C55D2B">
            <w:pPr>
              <w:pStyle w:val="Listenabsatz"/>
              <w:numPr>
                <w:ilvl w:val="0"/>
                <w:numId w:val="36"/>
              </w:numPr>
              <w:ind w:left="356"/>
              <w:jc w:val="left"/>
            </w:pPr>
            <w:r w:rsidRPr="00CA076C">
              <w:t>Wurde fahrlässig einem einzelnen Betroffenen sein Recht verweigert?</w:t>
            </w:r>
          </w:p>
        </w:tc>
      </w:tr>
      <w:tr w:rsidR="00C55D2B" w:rsidRPr="00CA076C" w14:paraId="38D8F576" w14:textId="77777777" w:rsidTr="00C55D2B">
        <w:tc>
          <w:tcPr>
            <w:tcW w:w="2552" w:type="dxa"/>
          </w:tcPr>
          <w:p w14:paraId="06904138" w14:textId="77777777" w:rsidR="00C55D2B" w:rsidRPr="00CA076C" w:rsidRDefault="00C55D2B" w:rsidP="00C55D2B">
            <w:pPr>
              <w:jc w:val="left"/>
            </w:pPr>
            <w:r w:rsidRPr="00CA076C">
              <w:t>Maßnahmen zur Minderung des Schadens für betroffene Personen</w:t>
            </w:r>
            <w:r w:rsidRPr="00CA076C">
              <w:br/>
              <w:t>(Art. 83 Abs. 2 lit. c)</w:t>
            </w:r>
          </w:p>
        </w:tc>
        <w:tc>
          <w:tcPr>
            <w:tcW w:w="5985" w:type="dxa"/>
          </w:tcPr>
          <w:p w14:paraId="6722B079" w14:textId="37A03891" w:rsidR="00C55D2B" w:rsidRPr="00CA076C" w:rsidRDefault="00C55D2B" w:rsidP="00C55D2B">
            <w:pPr>
              <w:pStyle w:val="Listenabsatz"/>
              <w:numPr>
                <w:ilvl w:val="0"/>
                <w:numId w:val="36"/>
              </w:numPr>
              <w:ind w:left="356"/>
              <w:jc w:val="left"/>
            </w:pPr>
            <w:r w:rsidRPr="00CA076C">
              <w:t>Wenn die Zugriffsrechte auf die Daten nicht hinreichend eingeschränkt werden, kann durch Dienstanweisungen das freie Surfen verboten werden</w:t>
            </w:r>
            <w:r w:rsidR="002410FD">
              <w:t>.</w:t>
            </w:r>
          </w:p>
        </w:tc>
      </w:tr>
      <w:tr w:rsidR="00C55D2B" w:rsidRPr="00CA076C" w14:paraId="26DE2A97" w14:textId="77777777" w:rsidTr="00C55D2B">
        <w:tc>
          <w:tcPr>
            <w:tcW w:w="2552" w:type="dxa"/>
          </w:tcPr>
          <w:p w14:paraId="764D9218" w14:textId="77777777" w:rsidR="00C55D2B" w:rsidRPr="00CA076C" w:rsidRDefault="00C55D2B" w:rsidP="00C55D2B">
            <w:pPr>
              <w:jc w:val="left"/>
            </w:pPr>
            <w:r w:rsidRPr="00CA076C">
              <w:t>Grad der Verantwortung Verantwortlicher/ Auftragsverarbeiter</w:t>
            </w:r>
            <w:r w:rsidRPr="00CA076C">
              <w:br/>
              <w:t>(Art. 83 Abs. 2 lit. d)</w:t>
            </w:r>
          </w:p>
        </w:tc>
        <w:tc>
          <w:tcPr>
            <w:tcW w:w="5985" w:type="dxa"/>
          </w:tcPr>
          <w:p w14:paraId="18EAA7F2" w14:textId="77777777" w:rsidR="00C55D2B" w:rsidRPr="00CA076C" w:rsidRDefault="00C55D2B" w:rsidP="00C55D2B">
            <w:pPr>
              <w:ind w:left="-4"/>
              <w:jc w:val="left"/>
            </w:pPr>
            <w:r w:rsidRPr="00CA076C">
              <w:t>Hierzu ist z. B. zu betrachten:</w:t>
            </w:r>
          </w:p>
          <w:p w14:paraId="7D39A0E3" w14:textId="77777777" w:rsidR="00C55D2B" w:rsidRPr="00CA076C" w:rsidRDefault="00C55D2B" w:rsidP="00C55D2B">
            <w:pPr>
              <w:pStyle w:val="Listenabsatz"/>
              <w:numPr>
                <w:ilvl w:val="0"/>
                <w:numId w:val="36"/>
              </w:numPr>
              <w:ind w:left="356"/>
              <w:jc w:val="left"/>
            </w:pPr>
            <w:r w:rsidRPr="00CA076C">
              <w:t>Bemühen des Verantwortlichen bzw. Auftragsverarbeiters, betroffenen Personen einen entstandenen (materiellen oder auch immateriellen) Schaden möglichst gering zu halten (bzw. auszugleichen)?</w:t>
            </w:r>
            <w:r w:rsidRPr="00CA076C">
              <w:rPr>
                <w:rStyle w:val="Funotenzeichen"/>
              </w:rPr>
              <w:t xml:space="preserve"> </w:t>
            </w:r>
            <w:r w:rsidRPr="00CA076C">
              <w:rPr>
                <w:rStyle w:val="Funotenzeichen"/>
              </w:rPr>
              <w:footnoteReference w:id="39"/>
            </w:r>
          </w:p>
        </w:tc>
      </w:tr>
      <w:tr w:rsidR="00C55D2B" w:rsidRPr="00CA076C" w14:paraId="43341EBD" w14:textId="77777777" w:rsidTr="00C55D2B">
        <w:tc>
          <w:tcPr>
            <w:tcW w:w="2552" w:type="dxa"/>
          </w:tcPr>
          <w:p w14:paraId="34149BBA" w14:textId="77777777" w:rsidR="00C55D2B" w:rsidRPr="00CA076C" w:rsidRDefault="00C55D2B" w:rsidP="00C55D2B">
            <w:pPr>
              <w:jc w:val="left"/>
            </w:pPr>
            <w:r w:rsidRPr="00CA076C">
              <w:t>Etwaige einschlägige frühere Verstöße</w:t>
            </w:r>
            <w:r w:rsidRPr="00CA076C">
              <w:br/>
              <w:t>(Art. 83 Abs. 2 lit. e)</w:t>
            </w:r>
          </w:p>
        </w:tc>
        <w:tc>
          <w:tcPr>
            <w:tcW w:w="5985" w:type="dxa"/>
          </w:tcPr>
          <w:p w14:paraId="15A7033E" w14:textId="77777777" w:rsidR="00C55D2B" w:rsidRPr="00CA076C" w:rsidRDefault="00C55D2B" w:rsidP="00C55D2B">
            <w:pPr>
              <w:ind w:left="-4"/>
              <w:jc w:val="left"/>
            </w:pPr>
            <w:r w:rsidRPr="00CA076C">
              <w:t>Handelt es sich um einen Wiederholungstatbestand?</w:t>
            </w:r>
          </w:p>
        </w:tc>
      </w:tr>
      <w:tr w:rsidR="00C55D2B" w:rsidRPr="00CA076C" w14:paraId="7682A952" w14:textId="77777777" w:rsidTr="00C55D2B">
        <w:tc>
          <w:tcPr>
            <w:tcW w:w="2552" w:type="dxa"/>
          </w:tcPr>
          <w:p w14:paraId="418C21DC" w14:textId="77777777" w:rsidR="00C55D2B" w:rsidRPr="00CA076C" w:rsidRDefault="00C55D2B" w:rsidP="00C55D2B">
            <w:pPr>
              <w:jc w:val="left"/>
            </w:pPr>
            <w:r w:rsidRPr="00CA076C">
              <w:lastRenderedPageBreak/>
              <w:t>Umfang der Zusammenarbeit mit der Aufsichtsbehörde</w:t>
            </w:r>
            <w:r w:rsidRPr="00CA076C">
              <w:br/>
              <w:t>(Art. 83 Abs. 2 lit. f)</w:t>
            </w:r>
          </w:p>
        </w:tc>
        <w:tc>
          <w:tcPr>
            <w:tcW w:w="5985" w:type="dxa"/>
          </w:tcPr>
          <w:p w14:paraId="37FBCFA9" w14:textId="77777777" w:rsidR="00C55D2B" w:rsidRPr="00CA076C" w:rsidRDefault="00C55D2B" w:rsidP="00C55D2B">
            <w:pPr>
              <w:jc w:val="left"/>
            </w:pPr>
            <w:r w:rsidRPr="00CA076C">
              <w:t>Hierzu ist z. B. zu betrachten:</w:t>
            </w:r>
          </w:p>
          <w:p w14:paraId="525A5EF5" w14:textId="77777777" w:rsidR="00C55D2B" w:rsidRPr="00CA076C" w:rsidRDefault="00C55D2B" w:rsidP="00C55D2B">
            <w:pPr>
              <w:pStyle w:val="Listenabsatz"/>
              <w:numPr>
                <w:ilvl w:val="0"/>
                <w:numId w:val="36"/>
              </w:numPr>
              <w:ind w:left="356"/>
              <w:jc w:val="left"/>
            </w:pPr>
            <w:r w:rsidRPr="00CA076C">
              <w:t>Wurden der Aufsichtsbehörde unverzüglich alle benötigten Informationen gegeben?</w:t>
            </w:r>
          </w:p>
          <w:p w14:paraId="6FF9D1AA" w14:textId="77777777" w:rsidR="00C55D2B" w:rsidRPr="00CA076C" w:rsidRDefault="00C55D2B" w:rsidP="00C55D2B">
            <w:pPr>
              <w:pStyle w:val="Listenabsatz"/>
              <w:numPr>
                <w:ilvl w:val="0"/>
                <w:numId w:val="36"/>
              </w:numPr>
              <w:ind w:left="356"/>
              <w:jc w:val="left"/>
            </w:pPr>
            <w:r w:rsidRPr="00CA076C">
              <w:t>Wurden Anstrengungen unternommen, um nachteilige Auswirkungen zu mildern?</w:t>
            </w:r>
          </w:p>
          <w:p w14:paraId="5DED5FD7" w14:textId="77777777" w:rsidR="00C55D2B" w:rsidRPr="00CA076C" w:rsidRDefault="00C55D2B" w:rsidP="00C55D2B">
            <w:pPr>
              <w:pStyle w:val="Listenabsatz"/>
              <w:numPr>
                <w:ilvl w:val="0"/>
                <w:numId w:val="36"/>
              </w:numPr>
              <w:ind w:left="356"/>
              <w:jc w:val="left"/>
            </w:pPr>
            <w:r w:rsidRPr="00CA076C">
              <w:t>Wurden Anstrengungen unternommen, damit künftig Verstöße dieser Art nicht mehr vorkommen?</w:t>
            </w:r>
          </w:p>
        </w:tc>
      </w:tr>
      <w:tr w:rsidR="00C55D2B" w:rsidRPr="00CA076C" w14:paraId="47A82B38" w14:textId="77777777" w:rsidTr="00C55D2B">
        <w:tc>
          <w:tcPr>
            <w:tcW w:w="2552" w:type="dxa"/>
          </w:tcPr>
          <w:p w14:paraId="0DA6B66A" w14:textId="77777777" w:rsidR="00C55D2B" w:rsidRPr="00CA076C" w:rsidRDefault="00C55D2B" w:rsidP="00C55D2B">
            <w:pPr>
              <w:jc w:val="left"/>
            </w:pPr>
            <w:r w:rsidRPr="00CA076C">
              <w:t>Kategorien personenbezogener Daten</w:t>
            </w:r>
            <w:r w:rsidRPr="00CA076C">
              <w:br/>
              <w:t>(Art. 83 Abs. 2 lit. g)</w:t>
            </w:r>
          </w:p>
        </w:tc>
        <w:tc>
          <w:tcPr>
            <w:tcW w:w="5985" w:type="dxa"/>
          </w:tcPr>
          <w:p w14:paraId="4FB0AB4B" w14:textId="77777777" w:rsidR="00C55D2B" w:rsidRPr="00CA076C" w:rsidRDefault="00C55D2B" w:rsidP="00C55D2B">
            <w:pPr>
              <w:jc w:val="left"/>
            </w:pPr>
            <w:r w:rsidRPr="00CA076C">
              <w:t>Im Kontext der Gesundheitsversorgung/-forschung handelt es sich immer um besondere Kategorien von Daten, sodass ein Verstoß schwerer wiegt.</w:t>
            </w:r>
          </w:p>
        </w:tc>
      </w:tr>
      <w:tr w:rsidR="00C55D2B" w:rsidRPr="00CA076C" w14:paraId="308F553C" w14:textId="77777777" w:rsidTr="00C55D2B">
        <w:tc>
          <w:tcPr>
            <w:tcW w:w="2552" w:type="dxa"/>
          </w:tcPr>
          <w:p w14:paraId="198EEE6B" w14:textId="77777777" w:rsidR="00C55D2B" w:rsidRPr="00CA076C" w:rsidRDefault="00C55D2B" w:rsidP="00C55D2B">
            <w:pPr>
              <w:jc w:val="left"/>
            </w:pPr>
            <w:r w:rsidRPr="00CA076C">
              <w:t>Art und Weise, wie der Verstoß der Aufsichtsbehörde bekannt wurde</w:t>
            </w:r>
          </w:p>
          <w:p w14:paraId="1B5D4801" w14:textId="77777777" w:rsidR="00C55D2B" w:rsidRPr="00CA076C" w:rsidRDefault="00C55D2B" w:rsidP="00C55D2B">
            <w:pPr>
              <w:jc w:val="left"/>
            </w:pPr>
            <w:r w:rsidRPr="00CA076C">
              <w:t>(Art. 83 Abs. 2 lit. h)</w:t>
            </w:r>
          </w:p>
        </w:tc>
        <w:tc>
          <w:tcPr>
            <w:tcW w:w="5985" w:type="dxa"/>
          </w:tcPr>
          <w:p w14:paraId="64A00CA0" w14:textId="77777777" w:rsidR="00C55D2B" w:rsidRPr="00CA076C" w:rsidRDefault="00C55D2B" w:rsidP="00C55D2B">
            <w:pPr>
              <w:jc w:val="left"/>
            </w:pPr>
            <w:r w:rsidRPr="00CA076C">
              <w:t>Hierzu ist z. B. zu betrachten:</w:t>
            </w:r>
          </w:p>
          <w:p w14:paraId="6B115427" w14:textId="77777777" w:rsidR="00C55D2B" w:rsidRPr="00CA076C" w:rsidRDefault="00C55D2B" w:rsidP="00C55D2B">
            <w:pPr>
              <w:pStyle w:val="Listenabsatz"/>
              <w:numPr>
                <w:ilvl w:val="0"/>
                <w:numId w:val="36"/>
              </w:numPr>
              <w:ind w:left="356"/>
              <w:jc w:val="left"/>
            </w:pPr>
            <w:r w:rsidRPr="00CA076C">
              <w:t>Meldete der Verantwortliche bzw. der Auftragsverarbeiter selbst das Vergehen an die Aufsichtsbehörde?</w:t>
            </w:r>
          </w:p>
          <w:p w14:paraId="12D649F1" w14:textId="77777777" w:rsidR="00C55D2B" w:rsidRPr="00CA076C" w:rsidRDefault="00C55D2B" w:rsidP="00C55D2B">
            <w:pPr>
              <w:pStyle w:val="Listenabsatz"/>
              <w:numPr>
                <w:ilvl w:val="0"/>
                <w:numId w:val="36"/>
              </w:numPr>
              <w:ind w:left="356"/>
              <w:jc w:val="left"/>
            </w:pPr>
            <w:r w:rsidRPr="00CA076C">
              <w:t>Erfuhr die Aufsichtsbehörde vom Betroffenen davon? Ggfs. aufgrund der Tatsache, dass der Verantwortliche den Betroffenen auf diese Möglichkeit hinwies?</w:t>
            </w:r>
          </w:p>
          <w:p w14:paraId="41DF5A13" w14:textId="77777777" w:rsidR="00C55D2B" w:rsidRPr="00CA076C" w:rsidRDefault="00C55D2B" w:rsidP="00C55D2B">
            <w:pPr>
              <w:pStyle w:val="Listenabsatz"/>
              <w:numPr>
                <w:ilvl w:val="0"/>
                <w:numId w:val="36"/>
              </w:numPr>
              <w:ind w:left="356"/>
              <w:jc w:val="left"/>
            </w:pPr>
            <w:r w:rsidRPr="00CA076C">
              <w:t>Wurde die Aufsichtsbehörde erst über Dritte (z.B. Presse) informiert?</w:t>
            </w:r>
          </w:p>
        </w:tc>
      </w:tr>
      <w:tr w:rsidR="00C55D2B" w:rsidRPr="00CA076C" w14:paraId="1593C957" w14:textId="77777777" w:rsidTr="00C55D2B">
        <w:tc>
          <w:tcPr>
            <w:tcW w:w="2552" w:type="dxa"/>
          </w:tcPr>
          <w:p w14:paraId="05C59978" w14:textId="77777777" w:rsidR="00C55D2B" w:rsidRPr="00CA076C" w:rsidRDefault="00C55D2B" w:rsidP="00C55D2B">
            <w:pPr>
              <w:jc w:val="left"/>
            </w:pPr>
            <w:r w:rsidRPr="00CA076C">
              <w:t>Einhaltung früherer Vorgaben der Aufsichtsbehörden bzgl. aktuell beanstandeter Verarbeitung</w:t>
            </w:r>
            <w:r w:rsidRPr="00CA076C">
              <w:br/>
              <w:t>(Art. 83 Abs. 2 lit. i)</w:t>
            </w:r>
          </w:p>
        </w:tc>
        <w:tc>
          <w:tcPr>
            <w:tcW w:w="5985" w:type="dxa"/>
          </w:tcPr>
          <w:p w14:paraId="089D4CB1" w14:textId="3E3558CC" w:rsidR="00C55D2B" w:rsidRPr="00CA076C" w:rsidRDefault="002410FD" w:rsidP="00C55D2B">
            <w:pPr>
              <w:jc w:val="left"/>
            </w:pPr>
            <w:r>
              <w:t xml:space="preserve">Wurden frühere Vorgaben an dem beanstandeten Gegenstand </w:t>
            </w:r>
            <w:r w:rsidR="00CB42B6">
              <w:t>vormals</w:t>
            </w:r>
            <w:r>
              <w:t xml:space="preserve"> berücksichtigt und werden erneut beanstande</w:t>
            </w:r>
            <w:r w:rsidR="00CB42B6">
              <w:t>t</w:t>
            </w:r>
            <w:r>
              <w:t xml:space="preserve"> (Wiederholungsfall)?  </w:t>
            </w:r>
          </w:p>
        </w:tc>
      </w:tr>
      <w:tr w:rsidR="00C55D2B" w:rsidRPr="00CA076C" w14:paraId="249CDED4" w14:textId="77777777" w:rsidTr="00C55D2B">
        <w:tc>
          <w:tcPr>
            <w:tcW w:w="2552" w:type="dxa"/>
          </w:tcPr>
          <w:p w14:paraId="619FDA6E" w14:textId="77777777" w:rsidR="00C55D2B" w:rsidRPr="00CA076C" w:rsidRDefault="00C55D2B" w:rsidP="00C55D2B">
            <w:pPr>
              <w:jc w:val="left"/>
            </w:pPr>
            <w:r w:rsidRPr="00CA076C">
              <w:t>Einhaltung genehmigter Verhaltensregeln</w:t>
            </w:r>
            <w:r w:rsidRPr="00CA076C">
              <w:br/>
              <w:t>(Art. 83 Abs. 2lit. j)</w:t>
            </w:r>
          </w:p>
        </w:tc>
        <w:tc>
          <w:tcPr>
            <w:tcW w:w="5985" w:type="dxa"/>
          </w:tcPr>
          <w:p w14:paraId="4C8BA745" w14:textId="339ACCA0" w:rsidR="00C55D2B" w:rsidRPr="00CA076C" w:rsidRDefault="002410FD" w:rsidP="00CA1D14">
            <w:pPr>
              <w:jc w:val="left"/>
            </w:pPr>
            <w:r>
              <w:t xml:space="preserve">Wurden genehmigte Verhaltensregeln nach Art. 40 umgesetzt </w:t>
            </w:r>
            <w:r w:rsidR="00CB42B6">
              <w:t xml:space="preserve">aber nicht in </w:t>
            </w:r>
            <w:r w:rsidR="00CA1D14">
              <w:t>G</w:t>
            </w:r>
            <w:r w:rsidR="00CB42B6">
              <w:t>änze</w:t>
            </w:r>
            <w:r>
              <w:t xml:space="preserve"> eingehalten?</w:t>
            </w:r>
          </w:p>
        </w:tc>
      </w:tr>
      <w:tr w:rsidR="002410FD" w:rsidRPr="00CA076C" w14:paraId="39E2FF0A" w14:textId="77777777" w:rsidTr="00C55D2B">
        <w:tc>
          <w:tcPr>
            <w:tcW w:w="2552" w:type="dxa"/>
          </w:tcPr>
          <w:p w14:paraId="311D3FE9" w14:textId="77777777" w:rsidR="002410FD" w:rsidRPr="00CA076C" w:rsidRDefault="002410FD" w:rsidP="002410FD">
            <w:pPr>
              <w:jc w:val="left"/>
            </w:pPr>
            <w:r w:rsidRPr="00CA076C">
              <w:t>Einhaltung genehmigter Zertifizierungsverfahren</w:t>
            </w:r>
            <w:r w:rsidRPr="00CA076C">
              <w:br/>
              <w:t>(Art. 83 Abs. 2lit. j)</w:t>
            </w:r>
          </w:p>
        </w:tc>
        <w:tc>
          <w:tcPr>
            <w:tcW w:w="5985" w:type="dxa"/>
          </w:tcPr>
          <w:p w14:paraId="4A299FC4" w14:textId="43330141" w:rsidR="002410FD" w:rsidRPr="00CA076C" w:rsidRDefault="002410FD" w:rsidP="002410FD">
            <w:pPr>
              <w:jc w:val="left"/>
            </w:pPr>
            <w:r>
              <w:t xml:space="preserve">Wurde ein genehmigtes Zertifizierungsverfahren nach Art. 42 </w:t>
            </w:r>
            <w:r w:rsidR="00CB42B6">
              <w:t xml:space="preserve">wirksam umgesetzt, jedoch in Teilen nicht </w:t>
            </w:r>
            <w:r>
              <w:t>eingehalten?</w:t>
            </w:r>
          </w:p>
        </w:tc>
      </w:tr>
      <w:tr w:rsidR="002410FD" w:rsidRPr="00CA076C" w14:paraId="118247EE" w14:textId="77777777" w:rsidTr="00C55D2B">
        <w:tc>
          <w:tcPr>
            <w:tcW w:w="2552" w:type="dxa"/>
          </w:tcPr>
          <w:p w14:paraId="545EFE7E" w14:textId="77777777" w:rsidR="002410FD" w:rsidRPr="00CA076C" w:rsidRDefault="002410FD" w:rsidP="002410FD">
            <w:pPr>
              <w:jc w:val="left"/>
            </w:pPr>
            <w:r w:rsidRPr="00CA076C">
              <w:t>Jegliche anderen erschwerenden oder mildernden Umstände</w:t>
            </w:r>
            <w:r w:rsidRPr="00CA076C">
              <w:br/>
              <w:t>(Art. 83 Abs. 2 lit. k)</w:t>
            </w:r>
          </w:p>
        </w:tc>
        <w:tc>
          <w:tcPr>
            <w:tcW w:w="5985" w:type="dxa"/>
          </w:tcPr>
          <w:p w14:paraId="5B561C23" w14:textId="02EEF8C3" w:rsidR="002410FD" w:rsidRPr="00CA076C" w:rsidRDefault="00CB42B6" w:rsidP="002410FD">
            <w:pPr>
              <w:jc w:val="left"/>
            </w:pPr>
            <w:r>
              <w:t>Haben sich durch den Verstoß finanzielle Vorteile ergeben?</w:t>
            </w:r>
          </w:p>
        </w:tc>
      </w:tr>
    </w:tbl>
    <w:p w14:paraId="4E0E2770" w14:textId="77777777" w:rsidR="004B7080" w:rsidRPr="00CA076C" w:rsidRDefault="004B7080" w:rsidP="004B7080"/>
    <w:p w14:paraId="100BD373" w14:textId="77777777" w:rsidR="004B7080" w:rsidRPr="00CA076C" w:rsidRDefault="004B7080" w:rsidP="004B7080">
      <w:r w:rsidRPr="00CA076C">
        <w:t>Es ist nicht damit zu rechnen, dass ein Verantwortlicher bei einem ersten Vergehen, welches auch nur darin bestehen kann, einem einzelnen Betroffenen sein Recht verweigert zu haben, die Höchststrafe angesetzt wird. Allerdings muss die Aufsichtsbehörde bei der Verhängung der Höhe des Bußgeldes auch bedenken, dass der europäische Gesetzgeber hier bewusst die höhere Version des Bußgeldes anordnete und nicht den kleineren Betrag aus Art. 83 Abs. 4 DS-GVO.</w:t>
      </w:r>
    </w:p>
    <w:p w14:paraId="30BB9B80" w14:textId="77777777" w:rsidR="004B7080" w:rsidRPr="00CA076C" w:rsidRDefault="004B7080" w:rsidP="004B7080">
      <w:r w:rsidRPr="00CA076C">
        <w:t>Weiterhin muss sich die Höhe der Geldbuße bei einem Verstoß „europäisch“ einordnen lassen. D. h. für einen Verstoß muss theoretisch in allen Ländern ein den Umständen entsprechendes, einheitliches Bußgeld verhängt werden.</w:t>
      </w:r>
    </w:p>
    <w:p w14:paraId="2849443C" w14:textId="77777777" w:rsidR="008640CD" w:rsidRPr="00CA076C" w:rsidRDefault="008640CD">
      <w:pPr>
        <w:jc w:val="left"/>
        <w:rPr>
          <w:rFonts w:asciiTheme="majorHAnsi" w:eastAsiaTheme="majorEastAsia" w:hAnsiTheme="majorHAnsi" w:cstheme="majorBidi"/>
          <w:b/>
          <w:color w:val="365F91" w:themeColor="accent1" w:themeShade="BF"/>
          <w:sz w:val="32"/>
          <w:szCs w:val="32"/>
        </w:rPr>
      </w:pPr>
      <w:r w:rsidRPr="00CA076C">
        <w:br w:type="page"/>
      </w:r>
    </w:p>
    <w:p w14:paraId="1DCB7742" w14:textId="77777777" w:rsidR="008640CD" w:rsidRPr="00CA076C" w:rsidRDefault="008640CD" w:rsidP="008640CD">
      <w:pPr>
        <w:pStyle w:val="berschrift1"/>
      </w:pPr>
      <w:bookmarkStart w:id="118" w:name="_Toc503456525"/>
      <w:r w:rsidRPr="00CA076C">
        <w:lastRenderedPageBreak/>
        <w:t>Abkürzungen</w:t>
      </w:r>
      <w:bookmarkEnd w:id="118"/>
    </w:p>
    <w:tbl>
      <w:tblPr>
        <w:tblStyle w:val="Tabellenraster"/>
        <w:tblW w:w="0" w:type="auto"/>
        <w:tblInd w:w="108" w:type="dxa"/>
        <w:tblLook w:val="04A0" w:firstRow="1" w:lastRow="0" w:firstColumn="1" w:lastColumn="0" w:noHBand="0" w:noVBand="1"/>
      </w:tblPr>
      <w:tblGrid>
        <w:gridCol w:w="1229"/>
        <w:gridCol w:w="7762"/>
      </w:tblGrid>
      <w:tr w:rsidR="000E0533" w:rsidRPr="00CA076C" w14:paraId="2A8216A2" w14:textId="77777777" w:rsidTr="001E1797">
        <w:tc>
          <w:tcPr>
            <w:tcW w:w="1229" w:type="dxa"/>
          </w:tcPr>
          <w:p w14:paraId="21AAE111" w14:textId="77777777" w:rsidR="000E0533" w:rsidRPr="00CA076C" w:rsidRDefault="000E0533" w:rsidP="001E1797">
            <w:pPr>
              <w:jc w:val="left"/>
            </w:pPr>
            <w:r w:rsidRPr="00CA076C">
              <w:t>Abs.</w:t>
            </w:r>
          </w:p>
        </w:tc>
        <w:tc>
          <w:tcPr>
            <w:tcW w:w="7762" w:type="dxa"/>
          </w:tcPr>
          <w:p w14:paraId="33890498" w14:textId="77777777" w:rsidR="000E0533" w:rsidRPr="00CA076C" w:rsidRDefault="000E0533" w:rsidP="001E1797">
            <w:pPr>
              <w:jc w:val="left"/>
            </w:pPr>
            <w:r w:rsidRPr="00CA076C">
              <w:t>Absatz</w:t>
            </w:r>
          </w:p>
        </w:tc>
      </w:tr>
      <w:tr w:rsidR="000E0533" w:rsidRPr="00CA076C" w14:paraId="1FCAF127" w14:textId="77777777" w:rsidTr="001E1797">
        <w:tc>
          <w:tcPr>
            <w:tcW w:w="1229" w:type="dxa"/>
          </w:tcPr>
          <w:p w14:paraId="5BAB0F67" w14:textId="77777777" w:rsidR="000E0533" w:rsidRPr="00CA076C" w:rsidRDefault="000E0533" w:rsidP="001E1797">
            <w:pPr>
              <w:ind w:left="708" w:hanging="708"/>
              <w:jc w:val="left"/>
            </w:pPr>
            <w:r w:rsidRPr="00CA076C">
              <w:t>ALE</w:t>
            </w:r>
          </w:p>
        </w:tc>
        <w:tc>
          <w:tcPr>
            <w:tcW w:w="7762" w:type="dxa"/>
          </w:tcPr>
          <w:p w14:paraId="4C7AD85B" w14:textId="77777777" w:rsidR="000E0533" w:rsidRPr="00CA076C" w:rsidRDefault="000E0533" w:rsidP="001E1797">
            <w:pPr>
              <w:jc w:val="left"/>
            </w:pPr>
            <w:r w:rsidRPr="00CA076C">
              <w:t xml:space="preserve">Annual Loss </w:t>
            </w:r>
            <w:proofErr w:type="spellStart"/>
            <w:r w:rsidRPr="00CA076C">
              <w:t>Expectancy</w:t>
            </w:r>
            <w:proofErr w:type="spellEnd"/>
          </w:p>
        </w:tc>
      </w:tr>
      <w:tr w:rsidR="000E0533" w:rsidRPr="00CA076C" w14:paraId="012209F5" w14:textId="77777777" w:rsidTr="001E1797">
        <w:tc>
          <w:tcPr>
            <w:tcW w:w="1229" w:type="dxa"/>
          </w:tcPr>
          <w:p w14:paraId="479233B1" w14:textId="77777777" w:rsidR="000E0533" w:rsidRPr="00CA076C" w:rsidRDefault="000E0533" w:rsidP="001E1797">
            <w:pPr>
              <w:jc w:val="left"/>
            </w:pPr>
            <w:r w:rsidRPr="00CA076C">
              <w:t>Art.</w:t>
            </w:r>
          </w:p>
        </w:tc>
        <w:tc>
          <w:tcPr>
            <w:tcW w:w="7762" w:type="dxa"/>
          </w:tcPr>
          <w:p w14:paraId="4ED5F4ED" w14:textId="77777777" w:rsidR="000E0533" w:rsidRPr="00CA076C" w:rsidRDefault="000E0533" w:rsidP="001E1797">
            <w:pPr>
              <w:jc w:val="left"/>
            </w:pPr>
            <w:r w:rsidRPr="00CA076C">
              <w:t>Artikel</w:t>
            </w:r>
          </w:p>
        </w:tc>
      </w:tr>
      <w:tr w:rsidR="000E0533" w:rsidRPr="00CA076C" w14:paraId="2710567D" w14:textId="77777777" w:rsidTr="001E1797">
        <w:tc>
          <w:tcPr>
            <w:tcW w:w="1229" w:type="dxa"/>
          </w:tcPr>
          <w:p w14:paraId="11E4B806" w14:textId="77777777" w:rsidR="000E0533" w:rsidRPr="00CA076C" w:rsidRDefault="000E0533" w:rsidP="001E1797">
            <w:pPr>
              <w:jc w:val="left"/>
            </w:pPr>
            <w:r w:rsidRPr="00CA076C">
              <w:t>Artt.</w:t>
            </w:r>
          </w:p>
        </w:tc>
        <w:tc>
          <w:tcPr>
            <w:tcW w:w="7762" w:type="dxa"/>
          </w:tcPr>
          <w:p w14:paraId="0E74849E" w14:textId="77777777" w:rsidR="000E0533" w:rsidRPr="00CA076C" w:rsidRDefault="000E0533" w:rsidP="001E1797">
            <w:pPr>
              <w:jc w:val="left"/>
            </w:pPr>
            <w:r w:rsidRPr="00CA076C">
              <w:t>Artikel (Mehrzahl)</w:t>
            </w:r>
          </w:p>
        </w:tc>
      </w:tr>
      <w:tr w:rsidR="000E0533" w:rsidRPr="00CA076C" w14:paraId="5756A05F" w14:textId="77777777" w:rsidTr="001E1797">
        <w:tc>
          <w:tcPr>
            <w:tcW w:w="1229" w:type="dxa"/>
          </w:tcPr>
          <w:p w14:paraId="38D2B444" w14:textId="77777777" w:rsidR="000E0533" w:rsidRPr="00CA076C" w:rsidRDefault="000E0533" w:rsidP="001E1797">
            <w:pPr>
              <w:jc w:val="left"/>
            </w:pPr>
            <w:r w:rsidRPr="00CA076C">
              <w:t>BDSG</w:t>
            </w:r>
          </w:p>
        </w:tc>
        <w:tc>
          <w:tcPr>
            <w:tcW w:w="7762" w:type="dxa"/>
          </w:tcPr>
          <w:p w14:paraId="065A7567" w14:textId="77777777" w:rsidR="000E0533" w:rsidRPr="00CA076C" w:rsidRDefault="000E0533" w:rsidP="001E1797">
            <w:pPr>
              <w:jc w:val="left"/>
            </w:pPr>
            <w:r w:rsidRPr="00CA076C">
              <w:t>Bundesdatenschutzgesetz</w:t>
            </w:r>
          </w:p>
        </w:tc>
      </w:tr>
      <w:tr w:rsidR="001E1797" w:rsidRPr="00CA076C" w14:paraId="71A59D8A" w14:textId="77777777" w:rsidTr="001E1797">
        <w:tc>
          <w:tcPr>
            <w:tcW w:w="1229" w:type="dxa"/>
          </w:tcPr>
          <w:p w14:paraId="31533FF1" w14:textId="77777777" w:rsidR="001E1797" w:rsidRPr="00CA076C" w:rsidRDefault="001E1797" w:rsidP="00141D6D">
            <w:pPr>
              <w:jc w:val="left"/>
            </w:pPr>
            <w:r w:rsidRPr="00CA076C">
              <w:t>BDSG</w:t>
            </w:r>
            <w:r w:rsidR="00141D6D" w:rsidRPr="00CA076C">
              <w:t xml:space="preserve"> n.F.</w:t>
            </w:r>
          </w:p>
        </w:tc>
        <w:tc>
          <w:tcPr>
            <w:tcW w:w="7762" w:type="dxa"/>
          </w:tcPr>
          <w:p w14:paraId="61C8DBD0" w14:textId="77777777" w:rsidR="001E1797" w:rsidRPr="00CA076C" w:rsidRDefault="001E1797" w:rsidP="001E1797">
            <w:pPr>
              <w:jc w:val="left"/>
            </w:pPr>
            <w:r w:rsidRPr="00CA076C">
              <w:t xml:space="preserve">Bundesdatenschutzgesetz, gültig ab 25. Mai 2018 (Gesetz zur Anpassung des Datenschutzrechts an die Verordnung (EU) 2016/679 und zur Umsetzung der Richtlinie (EU) 2016/680 (Datenschutz-Anpassungs- und -Umsetzungsgesetz EU – </w:t>
            </w:r>
            <w:proofErr w:type="spellStart"/>
            <w:r w:rsidRPr="00CA076C">
              <w:t>DSAnpUG</w:t>
            </w:r>
            <w:proofErr w:type="spellEnd"/>
            <w:r w:rsidRPr="00CA076C">
              <w:t>-EU)</w:t>
            </w:r>
          </w:p>
        </w:tc>
      </w:tr>
      <w:tr w:rsidR="000E0533" w:rsidRPr="00CA076C" w14:paraId="219CD26D" w14:textId="77777777" w:rsidTr="001E1797">
        <w:tc>
          <w:tcPr>
            <w:tcW w:w="1229" w:type="dxa"/>
          </w:tcPr>
          <w:p w14:paraId="7999B54F" w14:textId="77777777" w:rsidR="000E0533" w:rsidRPr="00CA076C" w:rsidRDefault="000E0533" w:rsidP="001E1797">
            <w:pPr>
              <w:ind w:left="708" w:hanging="708"/>
              <w:jc w:val="left"/>
            </w:pPr>
            <w:r w:rsidRPr="00CA076C">
              <w:t>BSI</w:t>
            </w:r>
          </w:p>
        </w:tc>
        <w:tc>
          <w:tcPr>
            <w:tcW w:w="7762" w:type="dxa"/>
          </w:tcPr>
          <w:p w14:paraId="18CD9369" w14:textId="77777777" w:rsidR="000E0533" w:rsidRPr="00CA076C" w:rsidRDefault="000E0533" w:rsidP="001E1797">
            <w:pPr>
              <w:jc w:val="left"/>
            </w:pPr>
            <w:r w:rsidRPr="00CA076C">
              <w:t>Bundesamt für Sicherheit in der Informationstechnik</w:t>
            </w:r>
          </w:p>
        </w:tc>
      </w:tr>
      <w:tr w:rsidR="000E0533" w:rsidRPr="00CA076C" w14:paraId="2645195A" w14:textId="77777777" w:rsidTr="001E1797">
        <w:tc>
          <w:tcPr>
            <w:tcW w:w="1229" w:type="dxa"/>
          </w:tcPr>
          <w:p w14:paraId="18416AAE" w14:textId="77777777" w:rsidR="000E0533" w:rsidRPr="00CA076C" w:rsidRDefault="000E0533" w:rsidP="001E1797">
            <w:pPr>
              <w:ind w:left="708" w:hanging="708"/>
              <w:jc w:val="left"/>
            </w:pPr>
            <w:r w:rsidRPr="00CA076C">
              <w:t>CEN</w:t>
            </w:r>
          </w:p>
        </w:tc>
        <w:tc>
          <w:tcPr>
            <w:tcW w:w="7762" w:type="dxa"/>
          </w:tcPr>
          <w:p w14:paraId="20A648D7" w14:textId="77777777" w:rsidR="000E0533" w:rsidRPr="00CA076C" w:rsidRDefault="000E0533" w:rsidP="00612F3C">
            <w:pPr>
              <w:jc w:val="left"/>
            </w:pPr>
            <w:r w:rsidRPr="00CA076C">
              <w:t xml:space="preserve">Europäische Komitee für Normung (franz. </w:t>
            </w:r>
            <w:proofErr w:type="spellStart"/>
            <w:r w:rsidRPr="00CA076C">
              <w:t>Comité</w:t>
            </w:r>
            <w:proofErr w:type="spellEnd"/>
            <w:r w:rsidRPr="00CA076C">
              <w:t xml:space="preserve"> </w:t>
            </w:r>
            <w:proofErr w:type="spellStart"/>
            <w:r w:rsidRPr="00CA076C">
              <w:t>Européen</w:t>
            </w:r>
            <w:proofErr w:type="spellEnd"/>
            <w:r w:rsidRPr="00CA076C">
              <w:t xml:space="preserve"> de </w:t>
            </w:r>
            <w:proofErr w:type="spellStart"/>
            <w:r w:rsidRPr="00CA076C">
              <w:t>Normalisation</w:t>
            </w:r>
            <w:proofErr w:type="spellEnd"/>
            <w:r w:rsidRPr="00CA076C">
              <w:t xml:space="preserve">; engl. European </w:t>
            </w:r>
            <w:proofErr w:type="spellStart"/>
            <w:r w:rsidRPr="00CA076C">
              <w:t>Committee</w:t>
            </w:r>
            <w:proofErr w:type="spellEnd"/>
            <w:r w:rsidRPr="00CA076C">
              <w:t xml:space="preserve"> </w:t>
            </w:r>
            <w:proofErr w:type="spellStart"/>
            <w:r w:rsidRPr="00CA076C">
              <w:t>for</w:t>
            </w:r>
            <w:proofErr w:type="spellEnd"/>
            <w:r w:rsidRPr="00CA076C">
              <w:t xml:space="preserve"> </w:t>
            </w:r>
            <w:proofErr w:type="spellStart"/>
            <w:r w:rsidRPr="00CA076C">
              <w:t>Standardization</w:t>
            </w:r>
            <w:proofErr w:type="spellEnd"/>
            <w:r w:rsidRPr="00CA076C">
              <w:t>)</w:t>
            </w:r>
          </w:p>
        </w:tc>
      </w:tr>
      <w:tr w:rsidR="000E0533" w:rsidRPr="00CA076C" w14:paraId="2A962520" w14:textId="77777777" w:rsidTr="001E1797">
        <w:tc>
          <w:tcPr>
            <w:tcW w:w="1229" w:type="dxa"/>
          </w:tcPr>
          <w:p w14:paraId="43EA62D8" w14:textId="77777777" w:rsidR="000E0533" w:rsidRPr="00CA076C" w:rsidRDefault="000E0533" w:rsidP="001E1797">
            <w:pPr>
              <w:ind w:left="708" w:hanging="708"/>
              <w:jc w:val="left"/>
            </w:pPr>
            <w:r w:rsidRPr="00CA076C">
              <w:t>DIN</w:t>
            </w:r>
          </w:p>
        </w:tc>
        <w:tc>
          <w:tcPr>
            <w:tcW w:w="7762" w:type="dxa"/>
          </w:tcPr>
          <w:p w14:paraId="11DEC772" w14:textId="77777777" w:rsidR="000E0533" w:rsidRPr="00CA076C" w:rsidRDefault="000E0533" w:rsidP="001E1797">
            <w:pPr>
              <w:jc w:val="left"/>
            </w:pPr>
            <w:r w:rsidRPr="00CA076C">
              <w:t>Deutsche Institut für Normung e. V.</w:t>
            </w:r>
          </w:p>
        </w:tc>
      </w:tr>
      <w:tr w:rsidR="000E0533" w:rsidRPr="00CA076C" w14:paraId="7621CDB0" w14:textId="77777777" w:rsidTr="001E1797">
        <w:tc>
          <w:tcPr>
            <w:tcW w:w="1229" w:type="dxa"/>
          </w:tcPr>
          <w:p w14:paraId="5D1B05C1" w14:textId="77777777" w:rsidR="000E0533" w:rsidRPr="00CA076C" w:rsidRDefault="000E0533" w:rsidP="001E1797">
            <w:pPr>
              <w:jc w:val="left"/>
            </w:pPr>
            <w:r w:rsidRPr="00CA076C">
              <w:t>DSB</w:t>
            </w:r>
          </w:p>
        </w:tc>
        <w:tc>
          <w:tcPr>
            <w:tcW w:w="7762" w:type="dxa"/>
          </w:tcPr>
          <w:p w14:paraId="70B8A1BD" w14:textId="77777777" w:rsidR="000E0533" w:rsidRPr="00CA076C" w:rsidRDefault="000E0533" w:rsidP="001E1797">
            <w:pPr>
              <w:jc w:val="left"/>
            </w:pPr>
            <w:r w:rsidRPr="00CA076C">
              <w:t>Datenschutzbeauftragter</w:t>
            </w:r>
          </w:p>
        </w:tc>
      </w:tr>
      <w:tr w:rsidR="000E0533" w:rsidRPr="00CA076C" w14:paraId="3B4C90B0" w14:textId="77777777" w:rsidTr="001E1797">
        <w:tc>
          <w:tcPr>
            <w:tcW w:w="1229" w:type="dxa"/>
          </w:tcPr>
          <w:p w14:paraId="09DCC6DC" w14:textId="77777777" w:rsidR="000E0533" w:rsidRPr="00CA076C" w:rsidRDefault="000E0533" w:rsidP="001E1797">
            <w:pPr>
              <w:jc w:val="left"/>
            </w:pPr>
            <w:r w:rsidRPr="00CA076C">
              <w:t>DS-GVO</w:t>
            </w:r>
          </w:p>
        </w:tc>
        <w:tc>
          <w:tcPr>
            <w:tcW w:w="7762" w:type="dxa"/>
          </w:tcPr>
          <w:p w14:paraId="75C5AB61" w14:textId="77777777" w:rsidR="000E0533" w:rsidRPr="00CA076C" w:rsidRDefault="000E0533" w:rsidP="001E1797">
            <w:pPr>
              <w:jc w:val="left"/>
            </w:pPr>
            <w:r w:rsidRPr="00CA076C">
              <w:t>Datenschutz-Grundverordnung</w:t>
            </w:r>
          </w:p>
        </w:tc>
      </w:tr>
      <w:tr w:rsidR="000E0533" w:rsidRPr="00CA076C" w14:paraId="4A755150" w14:textId="77777777" w:rsidTr="001E1797">
        <w:tc>
          <w:tcPr>
            <w:tcW w:w="1229" w:type="dxa"/>
          </w:tcPr>
          <w:p w14:paraId="035791DF" w14:textId="77777777" w:rsidR="000E0533" w:rsidRPr="00CA076C" w:rsidRDefault="000E0533" w:rsidP="001E1797">
            <w:pPr>
              <w:jc w:val="left"/>
            </w:pPr>
            <w:r w:rsidRPr="00CA076C">
              <w:t>EG</w:t>
            </w:r>
          </w:p>
        </w:tc>
        <w:tc>
          <w:tcPr>
            <w:tcW w:w="7762" w:type="dxa"/>
          </w:tcPr>
          <w:p w14:paraId="5183DAFF" w14:textId="77777777" w:rsidR="000E0533" w:rsidRPr="00CA076C" w:rsidRDefault="000E0533" w:rsidP="001E1797">
            <w:pPr>
              <w:jc w:val="left"/>
            </w:pPr>
            <w:r w:rsidRPr="00CA076C">
              <w:t>Europäische Gemeinschaft</w:t>
            </w:r>
          </w:p>
        </w:tc>
      </w:tr>
      <w:tr w:rsidR="000E0533" w:rsidRPr="00CA076C" w14:paraId="75FAE021" w14:textId="77777777" w:rsidTr="001E1797">
        <w:tc>
          <w:tcPr>
            <w:tcW w:w="1229" w:type="dxa"/>
          </w:tcPr>
          <w:p w14:paraId="11BD3A64" w14:textId="77777777" w:rsidR="000E0533" w:rsidRPr="00CA076C" w:rsidRDefault="000E0533" w:rsidP="001E1797">
            <w:pPr>
              <w:jc w:val="left"/>
            </w:pPr>
            <w:r w:rsidRPr="00CA076C">
              <w:t>ErwGr.</w:t>
            </w:r>
          </w:p>
        </w:tc>
        <w:tc>
          <w:tcPr>
            <w:tcW w:w="7762" w:type="dxa"/>
          </w:tcPr>
          <w:p w14:paraId="2375B704" w14:textId="77777777" w:rsidR="000E0533" w:rsidRPr="00CA076C" w:rsidRDefault="000E0533" w:rsidP="001E1797">
            <w:pPr>
              <w:jc w:val="left"/>
            </w:pPr>
            <w:r w:rsidRPr="00CA076C">
              <w:t>Erwägungsgrund</w:t>
            </w:r>
          </w:p>
        </w:tc>
      </w:tr>
      <w:tr w:rsidR="000E0533" w:rsidRPr="00CA076C" w14:paraId="2ABB249D" w14:textId="77777777" w:rsidTr="001E1797">
        <w:tc>
          <w:tcPr>
            <w:tcW w:w="1229" w:type="dxa"/>
          </w:tcPr>
          <w:p w14:paraId="34753D5D" w14:textId="77777777" w:rsidR="000E0533" w:rsidRPr="00CA076C" w:rsidRDefault="000E0533" w:rsidP="001E1797">
            <w:pPr>
              <w:jc w:val="left"/>
            </w:pPr>
            <w:r w:rsidRPr="00CA076C">
              <w:t>EU</w:t>
            </w:r>
          </w:p>
        </w:tc>
        <w:tc>
          <w:tcPr>
            <w:tcW w:w="7762" w:type="dxa"/>
          </w:tcPr>
          <w:p w14:paraId="10BFD781" w14:textId="77777777" w:rsidR="000E0533" w:rsidRPr="00CA076C" w:rsidRDefault="000E0533" w:rsidP="001E1797">
            <w:pPr>
              <w:jc w:val="left"/>
            </w:pPr>
            <w:r w:rsidRPr="00CA076C">
              <w:t>Europäische Union</w:t>
            </w:r>
          </w:p>
        </w:tc>
      </w:tr>
      <w:tr w:rsidR="000E0533" w:rsidRPr="00CA076C" w14:paraId="4C3737BF" w14:textId="77777777" w:rsidTr="001E1797">
        <w:tc>
          <w:tcPr>
            <w:tcW w:w="1229" w:type="dxa"/>
          </w:tcPr>
          <w:p w14:paraId="68787014" w14:textId="77777777" w:rsidR="000E0533" w:rsidRPr="00CA076C" w:rsidRDefault="000E0533" w:rsidP="001E1797">
            <w:pPr>
              <w:ind w:left="708" w:hanging="708"/>
              <w:jc w:val="left"/>
            </w:pPr>
            <w:r w:rsidRPr="00CA076C">
              <w:t>ISO</w:t>
            </w:r>
          </w:p>
        </w:tc>
        <w:tc>
          <w:tcPr>
            <w:tcW w:w="7762" w:type="dxa"/>
          </w:tcPr>
          <w:p w14:paraId="6F708F52" w14:textId="77777777" w:rsidR="000E0533" w:rsidRPr="00CA076C" w:rsidRDefault="000E0533" w:rsidP="001E1797">
            <w:pPr>
              <w:jc w:val="left"/>
            </w:pPr>
            <w:r w:rsidRPr="00CA076C">
              <w:t xml:space="preserve">International </w:t>
            </w:r>
            <w:proofErr w:type="spellStart"/>
            <w:r w:rsidRPr="00CA076C">
              <w:t>Organization</w:t>
            </w:r>
            <w:proofErr w:type="spellEnd"/>
            <w:r w:rsidRPr="00CA076C">
              <w:t xml:space="preserve"> </w:t>
            </w:r>
            <w:proofErr w:type="spellStart"/>
            <w:r w:rsidRPr="00CA076C">
              <w:t>for</w:t>
            </w:r>
            <w:proofErr w:type="spellEnd"/>
            <w:r w:rsidRPr="00CA076C">
              <w:t xml:space="preserve"> </w:t>
            </w:r>
            <w:proofErr w:type="spellStart"/>
            <w:r w:rsidRPr="00CA076C">
              <w:t>Standardization</w:t>
            </w:r>
            <w:proofErr w:type="spellEnd"/>
          </w:p>
        </w:tc>
      </w:tr>
      <w:tr w:rsidR="000E0533" w:rsidRPr="00CA076C" w14:paraId="2FAA5842" w14:textId="77777777" w:rsidTr="001E1797">
        <w:tc>
          <w:tcPr>
            <w:tcW w:w="1229" w:type="dxa"/>
          </w:tcPr>
          <w:p w14:paraId="7D627712" w14:textId="77777777" w:rsidR="000E0533" w:rsidRPr="00CA076C" w:rsidRDefault="000E0533" w:rsidP="001E1797">
            <w:pPr>
              <w:jc w:val="left"/>
            </w:pPr>
            <w:r w:rsidRPr="00CA076C">
              <w:t>Lit.</w:t>
            </w:r>
          </w:p>
        </w:tc>
        <w:tc>
          <w:tcPr>
            <w:tcW w:w="7762" w:type="dxa"/>
          </w:tcPr>
          <w:p w14:paraId="457EE1D4" w14:textId="77777777" w:rsidR="000E0533" w:rsidRPr="00CA076C" w:rsidRDefault="000E0533" w:rsidP="001E1797">
            <w:pPr>
              <w:jc w:val="left"/>
            </w:pPr>
            <w:proofErr w:type="spellStart"/>
            <w:r w:rsidRPr="00CA076C">
              <w:t>Literal</w:t>
            </w:r>
            <w:proofErr w:type="spellEnd"/>
          </w:p>
        </w:tc>
      </w:tr>
      <w:tr w:rsidR="000E0533" w:rsidRPr="00CA076C" w14:paraId="37761525" w14:textId="77777777" w:rsidTr="001E1797">
        <w:tc>
          <w:tcPr>
            <w:tcW w:w="1229" w:type="dxa"/>
          </w:tcPr>
          <w:p w14:paraId="3508B870" w14:textId="77777777" w:rsidR="000E0533" w:rsidRPr="00CA076C" w:rsidRDefault="000E0533" w:rsidP="001E1797">
            <w:pPr>
              <w:jc w:val="left"/>
            </w:pPr>
            <w:r w:rsidRPr="00CA076C">
              <w:t>RL</w:t>
            </w:r>
          </w:p>
        </w:tc>
        <w:tc>
          <w:tcPr>
            <w:tcW w:w="7762" w:type="dxa"/>
          </w:tcPr>
          <w:p w14:paraId="2A988013" w14:textId="77777777" w:rsidR="000E0533" w:rsidRPr="00CA076C" w:rsidRDefault="000E0533" w:rsidP="001E1797">
            <w:pPr>
              <w:jc w:val="left"/>
            </w:pPr>
            <w:r w:rsidRPr="00CA076C">
              <w:t>Richtlinie</w:t>
            </w:r>
          </w:p>
        </w:tc>
      </w:tr>
      <w:tr w:rsidR="000E0533" w:rsidRPr="00CA076C" w14:paraId="66FAE937" w14:textId="77777777" w:rsidTr="001E1797">
        <w:tc>
          <w:tcPr>
            <w:tcW w:w="1229" w:type="dxa"/>
          </w:tcPr>
          <w:p w14:paraId="481607C7" w14:textId="77777777" w:rsidR="000E0533" w:rsidRPr="00CA076C" w:rsidRDefault="000E0533" w:rsidP="001E1797">
            <w:pPr>
              <w:jc w:val="left"/>
            </w:pPr>
            <w:r w:rsidRPr="00CA076C">
              <w:t>Rn.</w:t>
            </w:r>
          </w:p>
        </w:tc>
        <w:tc>
          <w:tcPr>
            <w:tcW w:w="7762" w:type="dxa"/>
          </w:tcPr>
          <w:p w14:paraId="1035473F" w14:textId="77777777" w:rsidR="000E0533" w:rsidRPr="00CA076C" w:rsidRDefault="000E0533" w:rsidP="001E1797">
            <w:pPr>
              <w:jc w:val="left"/>
            </w:pPr>
            <w:proofErr w:type="spellStart"/>
            <w:r w:rsidRPr="00CA076C">
              <w:t>Randnote</w:t>
            </w:r>
            <w:proofErr w:type="spellEnd"/>
            <w:r w:rsidRPr="00CA076C">
              <w:t>, -nummer, -zahl, -ziffer</w:t>
            </w:r>
          </w:p>
        </w:tc>
      </w:tr>
      <w:tr w:rsidR="000E0533" w:rsidRPr="00CA076C" w14:paraId="7B49DFC9" w14:textId="77777777" w:rsidTr="001E1797">
        <w:tc>
          <w:tcPr>
            <w:tcW w:w="1229" w:type="dxa"/>
          </w:tcPr>
          <w:p w14:paraId="42D1DF10" w14:textId="77777777" w:rsidR="000E0533" w:rsidRPr="00CA076C" w:rsidRDefault="000E0533" w:rsidP="001E1797">
            <w:pPr>
              <w:ind w:left="708" w:hanging="708"/>
              <w:jc w:val="left"/>
            </w:pPr>
            <w:proofErr w:type="spellStart"/>
            <w:r w:rsidRPr="00CA076C">
              <w:t>RoSI</w:t>
            </w:r>
            <w:proofErr w:type="spellEnd"/>
          </w:p>
        </w:tc>
        <w:tc>
          <w:tcPr>
            <w:tcW w:w="7762" w:type="dxa"/>
          </w:tcPr>
          <w:p w14:paraId="08673ADD" w14:textId="77777777" w:rsidR="000E0533" w:rsidRPr="00CA076C" w:rsidRDefault="000E0533" w:rsidP="001E1797">
            <w:pPr>
              <w:jc w:val="left"/>
            </w:pPr>
            <w:r w:rsidRPr="00CA076C">
              <w:t>Return on Security Investment</w:t>
            </w:r>
          </w:p>
        </w:tc>
      </w:tr>
      <w:tr w:rsidR="000E0533" w:rsidRPr="00CA076C" w14:paraId="277E4B89" w14:textId="77777777" w:rsidTr="001E1797">
        <w:tc>
          <w:tcPr>
            <w:tcW w:w="1229" w:type="dxa"/>
          </w:tcPr>
          <w:p w14:paraId="5C1B285D" w14:textId="77777777" w:rsidR="000E0533" w:rsidRPr="00CA076C" w:rsidRDefault="000E0533" w:rsidP="001E1797">
            <w:pPr>
              <w:ind w:left="708" w:hanging="708"/>
              <w:jc w:val="left"/>
            </w:pPr>
            <w:r w:rsidRPr="00CA076C">
              <w:t>TCO</w:t>
            </w:r>
          </w:p>
        </w:tc>
        <w:tc>
          <w:tcPr>
            <w:tcW w:w="7762" w:type="dxa"/>
          </w:tcPr>
          <w:p w14:paraId="18E86BDA" w14:textId="77777777" w:rsidR="000E0533" w:rsidRPr="00CA076C" w:rsidRDefault="000E0533" w:rsidP="001E1797">
            <w:pPr>
              <w:jc w:val="left"/>
            </w:pPr>
            <w:r w:rsidRPr="00CA076C">
              <w:t xml:space="preserve">Total </w:t>
            </w:r>
            <w:proofErr w:type="spellStart"/>
            <w:r w:rsidRPr="00CA076C">
              <w:t>Cost</w:t>
            </w:r>
            <w:proofErr w:type="spellEnd"/>
            <w:r w:rsidRPr="00CA076C">
              <w:t xml:space="preserve"> </w:t>
            </w:r>
            <w:proofErr w:type="spellStart"/>
            <w:r w:rsidRPr="00CA076C">
              <w:t>of</w:t>
            </w:r>
            <w:proofErr w:type="spellEnd"/>
            <w:r w:rsidRPr="00CA076C">
              <w:t xml:space="preserve"> Ownership</w:t>
            </w:r>
          </w:p>
        </w:tc>
      </w:tr>
      <w:tr w:rsidR="000E0533" w:rsidRPr="00CA076C" w14:paraId="02BCC57A" w14:textId="77777777" w:rsidTr="001E1797">
        <w:tc>
          <w:tcPr>
            <w:tcW w:w="1229" w:type="dxa"/>
          </w:tcPr>
          <w:p w14:paraId="3324893B" w14:textId="77777777" w:rsidR="000E0533" w:rsidRPr="00CA076C" w:rsidRDefault="000E0533" w:rsidP="001E1797">
            <w:pPr>
              <w:ind w:left="708" w:hanging="708"/>
              <w:jc w:val="left"/>
            </w:pPr>
            <w:r w:rsidRPr="00CA076C">
              <w:t>TKG</w:t>
            </w:r>
          </w:p>
        </w:tc>
        <w:tc>
          <w:tcPr>
            <w:tcW w:w="7762" w:type="dxa"/>
          </w:tcPr>
          <w:p w14:paraId="1BB17AB2" w14:textId="77777777" w:rsidR="000E0533" w:rsidRPr="00CA076C" w:rsidRDefault="000E0533" w:rsidP="001E1797">
            <w:pPr>
              <w:jc w:val="left"/>
            </w:pPr>
            <w:r w:rsidRPr="00CA076C">
              <w:t>Telekommunikationsgesetz</w:t>
            </w:r>
          </w:p>
        </w:tc>
      </w:tr>
      <w:tr w:rsidR="000E0533" w:rsidRPr="00CA076C" w14:paraId="259DC19F" w14:textId="77777777" w:rsidTr="001E1797">
        <w:tc>
          <w:tcPr>
            <w:tcW w:w="1229" w:type="dxa"/>
          </w:tcPr>
          <w:p w14:paraId="1EF07F63" w14:textId="77777777" w:rsidR="000E0533" w:rsidRPr="00CA076C" w:rsidRDefault="000E0533" w:rsidP="001E1797">
            <w:pPr>
              <w:ind w:left="708" w:hanging="708"/>
              <w:jc w:val="left"/>
            </w:pPr>
            <w:r w:rsidRPr="00CA076C">
              <w:t>TMG</w:t>
            </w:r>
          </w:p>
        </w:tc>
        <w:tc>
          <w:tcPr>
            <w:tcW w:w="7762" w:type="dxa"/>
          </w:tcPr>
          <w:p w14:paraId="0B53B6F0" w14:textId="77777777" w:rsidR="000E0533" w:rsidRPr="00CA076C" w:rsidRDefault="000E0533" w:rsidP="001E1797">
            <w:pPr>
              <w:jc w:val="left"/>
            </w:pPr>
            <w:r w:rsidRPr="00CA076C">
              <w:t>Telemediengesetz</w:t>
            </w:r>
          </w:p>
        </w:tc>
      </w:tr>
      <w:tr w:rsidR="000E0533" w:rsidRPr="00CA076C" w14:paraId="7D1F83DB" w14:textId="77777777" w:rsidTr="001E1797">
        <w:tc>
          <w:tcPr>
            <w:tcW w:w="1229" w:type="dxa"/>
          </w:tcPr>
          <w:p w14:paraId="3019BF96" w14:textId="77777777" w:rsidR="000E0533" w:rsidRPr="00CA076C" w:rsidRDefault="000E0533" w:rsidP="001E1797">
            <w:pPr>
              <w:ind w:left="708" w:hanging="708"/>
              <w:jc w:val="left"/>
            </w:pPr>
            <w:r w:rsidRPr="00CA076C">
              <w:t>TOM</w:t>
            </w:r>
          </w:p>
        </w:tc>
        <w:tc>
          <w:tcPr>
            <w:tcW w:w="7762" w:type="dxa"/>
          </w:tcPr>
          <w:p w14:paraId="66D7BAA0" w14:textId="77777777" w:rsidR="000E0533" w:rsidRPr="00CA076C" w:rsidRDefault="000E0533" w:rsidP="001E1797">
            <w:pPr>
              <w:jc w:val="left"/>
            </w:pPr>
            <w:r w:rsidRPr="00CA076C">
              <w:t>Technische und organisatorische Maßnahmen</w:t>
            </w:r>
          </w:p>
        </w:tc>
      </w:tr>
      <w:tr w:rsidR="000E0533" w:rsidRPr="00CA076C" w14:paraId="11FC1234" w14:textId="77777777" w:rsidTr="001E1797">
        <w:tc>
          <w:tcPr>
            <w:tcW w:w="1229" w:type="dxa"/>
          </w:tcPr>
          <w:p w14:paraId="3D1272CD" w14:textId="77777777" w:rsidR="000E0533" w:rsidRPr="00CA076C" w:rsidRDefault="000E0533" w:rsidP="001E1797">
            <w:pPr>
              <w:ind w:left="708" w:hanging="708"/>
              <w:jc w:val="left"/>
            </w:pPr>
            <w:r w:rsidRPr="00CA076C">
              <w:t>TR</w:t>
            </w:r>
          </w:p>
        </w:tc>
        <w:tc>
          <w:tcPr>
            <w:tcW w:w="7762" w:type="dxa"/>
          </w:tcPr>
          <w:p w14:paraId="07CB0143" w14:textId="77777777" w:rsidR="000E0533" w:rsidRPr="00CA076C" w:rsidRDefault="000E0533" w:rsidP="001E1797">
            <w:pPr>
              <w:jc w:val="left"/>
            </w:pPr>
            <w:r w:rsidRPr="00CA076C">
              <w:t>Technische Richtlinie</w:t>
            </w:r>
          </w:p>
        </w:tc>
      </w:tr>
      <w:tr w:rsidR="000E0533" w:rsidRPr="00CA076C" w14:paraId="1008025E" w14:textId="77777777" w:rsidTr="001E1797">
        <w:tc>
          <w:tcPr>
            <w:tcW w:w="1229" w:type="dxa"/>
          </w:tcPr>
          <w:p w14:paraId="0E530479" w14:textId="77777777" w:rsidR="000E0533" w:rsidRPr="00CA076C" w:rsidRDefault="000E0533" w:rsidP="001E1797">
            <w:pPr>
              <w:ind w:left="708" w:hanging="708"/>
              <w:jc w:val="left"/>
            </w:pPr>
            <w:r w:rsidRPr="00CA076C">
              <w:t>TS</w:t>
            </w:r>
          </w:p>
        </w:tc>
        <w:tc>
          <w:tcPr>
            <w:tcW w:w="7762" w:type="dxa"/>
          </w:tcPr>
          <w:p w14:paraId="21DF568C" w14:textId="77777777" w:rsidR="000E0533" w:rsidRPr="00CA076C" w:rsidRDefault="000E0533" w:rsidP="001E1797">
            <w:pPr>
              <w:jc w:val="left"/>
            </w:pPr>
            <w:r w:rsidRPr="00CA076C">
              <w:t xml:space="preserve">Technical </w:t>
            </w:r>
            <w:proofErr w:type="spellStart"/>
            <w:r w:rsidRPr="00CA076C">
              <w:t>Specification</w:t>
            </w:r>
            <w:proofErr w:type="spellEnd"/>
            <w:r w:rsidRPr="00CA076C">
              <w:t>(s)</w:t>
            </w:r>
          </w:p>
        </w:tc>
      </w:tr>
      <w:tr w:rsidR="000E0533" w:rsidRPr="00CA076C" w14:paraId="737E24E4" w14:textId="77777777" w:rsidTr="001E1797">
        <w:tc>
          <w:tcPr>
            <w:tcW w:w="1229" w:type="dxa"/>
          </w:tcPr>
          <w:p w14:paraId="1E4F8AE5" w14:textId="77777777" w:rsidR="000E0533" w:rsidRPr="00CA076C" w:rsidRDefault="000E0533" w:rsidP="001E1797">
            <w:pPr>
              <w:jc w:val="left"/>
            </w:pPr>
            <w:r w:rsidRPr="00CA076C">
              <w:t>WP</w:t>
            </w:r>
          </w:p>
        </w:tc>
        <w:tc>
          <w:tcPr>
            <w:tcW w:w="7762" w:type="dxa"/>
          </w:tcPr>
          <w:p w14:paraId="6C903640" w14:textId="77777777" w:rsidR="000E0533" w:rsidRPr="00CA076C" w:rsidRDefault="000E0533" w:rsidP="001E1797">
            <w:pPr>
              <w:jc w:val="left"/>
            </w:pPr>
            <w:r w:rsidRPr="00CA076C">
              <w:t>Working Paper</w:t>
            </w:r>
          </w:p>
        </w:tc>
      </w:tr>
      <w:tr w:rsidR="000E0533" w:rsidRPr="00CA076C" w14:paraId="33B15DB5" w14:textId="77777777" w:rsidTr="001E1797">
        <w:tc>
          <w:tcPr>
            <w:tcW w:w="1229" w:type="dxa"/>
          </w:tcPr>
          <w:p w14:paraId="495A318B" w14:textId="77777777" w:rsidR="000E0533" w:rsidRPr="00CA076C" w:rsidRDefault="000E0533" w:rsidP="001E1797">
            <w:pPr>
              <w:ind w:left="708" w:hanging="708"/>
              <w:jc w:val="left"/>
            </w:pPr>
            <w:r w:rsidRPr="00CA076C">
              <w:t>Ziff.</w:t>
            </w:r>
          </w:p>
        </w:tc>
        <w:tc>
          <w:tcPr>
            <w:tcW w:w="7762" w:type="dxa"/>
          </w:tcPr>
          <w:p w14:paraId="242B7EEF" w14:textId="77777777" w:rsidR="000E0533" w:rsidRPr="00CA076C" w:rsidRDefault="000E0533" w:rsidP="001E1797">
            <w:pPr>
              <w:jc w:val="left"/>
            </w:pPr>
            <w:r w:rsidRPr="00CA076C">
              <w:t>Ziffer</w:t>
            </w:r>
          </w:p>
        </w:tc>
      </w:tr>
    </w:tbl>
    <w:p w14:paraId="3664BC26" w14:textId="77777777" w:rsidR="008640CD" w:rsidRPr="00CA076C" w:rsidRDefault="008640CD" w:rsidP="00017132"/>
    <w:p w14:paraId="5192DE03" w14:textId="77777777" w:rsidR="004B7080" w:rsidRPr="00CA076C" w:rsidRDefault="004B7080">
      <w:pPr>
        <w:jc w:val="left"/>
        <w:rPr>
          <w:rFonts w:asciiTheme="majorHAnsi" w:eastAsiaTheme="majorEastAsia" w:hAnsiTheme="majorHAnsi" w:cstheme="majorBidi"/>
          <w:b/>
          <w:color w:val="365F91" w:themeColor="accent1" w:themeShade="BF"/>
          <w:sz w:val="32"/>
          <w:szCs w:val="32"/>
        </w:rPr>
      </w:pPr>
      <w:r w:rsidRPr="00CA076C">
        <w:br w:type="page"/>
      </w:r>
    </w:p>
    <w:p w14:paraId="0A5BFBA0" w14:textId="77777777" w:rsidR="00612F3C" w:rsidRPr="00CA076C" w:rsidRDefault="00612F3C" w:rsidP="00612F3C">
      <w:pPr>
        <w:pStyle w:val="berschrift1"/>
      </w:pPr>
      <w:bookmarkStart w:id="119" w:name="_Toc503456526"/>
      <w:r w:rsidRPr="00CA076C">
        <w:lastRenderedPageBreak/>
        <w:t>Glossar</w:t>
      </w:r>
      <w:bookmarkEnd w:id="119"/>
    </w:p>
    <w:tbl>
      <w:tblPr>
        <w:tblStyle w:val="Tabellenraster"/>
        <w:tblW w:w="0" w:type="auto"/>
        <w:tblLook w:val="04A0" w:firstRow="1" w:lastRow="0" w:firstColumn="1" w:lastColumn="0" w:noHBand="0" w:noVBand="1"/>
      </w:tblPr>
      <w:tblGrid>
        <w:gridCol w:w="2418"/>
        <w:gridCol w:w="6870"/>
      </w:tblGrid>
      <w:tr w:rsidR="00E44AC3" w:rsidRPr="00CA076C" w14:paraId="408141C5" w14:textId="77777777" w:rsidTr="00E44AC3">
        <w:tc>
          <w:tcPr>
            <w:tcW w:w="2418" w:type="dxa"/>
          </w:tcPr>
          <w:p w14:paraId="05D0D723" w14:textId="77777777" w:rsidR="00E44AC3" w:rsidRPr="00CA076C" w:rsidRDefault="00E44AC3" w:rsidP="00A15C78">
            <w:pPr>
              <w:jc w:val="left"/>
            </w:pPr>
            <w:r w:rsidRPr="00CA076C">
              <w:t>Automatische Verarbeitung</w:t>
            </w:r>
          </w:p>
        </w:tc>
        <w:tc>
          <w:tcPr>
            <w:tcW w:w="6870" w:type="dxa"/>
          </w:tcPr>
          <w:p w14:paraId="37D9FB0F" w14:textId="77777777" w:rsidR="00E44AC3" w:rsidRPr="00CA076C" w:rsidRDefault="00E44AC3" w:rsidP="00A15C78">
            <w:pPr>
              <w:jc w:val="left"/>
            </w:pPr>
            <w:r w:rsidRPr="00CA076C">
              <w:t>Verarbeitung unter Nutzung von EDV; also z.B. Word- oder Excel-Datei, aber auch KIS, RIS, PACS, unabhängig ob Client-Server-Lösung oder Stand-</w:t>
            </w:r>
            <w:proofErr w:type="spellStart"/>
            <w:r w:rsidRPr="00CA076C">
              <w:t>alone</w:t>
            </w:r>
            <w:proofErr w:type="spellEnd"/>
            <w:r w:rsidRPr="00CA076C">
              <w:t xml:space="preserve"> PC, Tablet oder anderweitige Hardware genutzt wird</w:t>
            </w:r>
          </w:p>
        </w:tc>
      </w:tr>
      <w:tr w:rsidR="00E44AC3" w:rsidRPr="00CA076C" w14:paraId="57AD7CA7" w14:textId="77777777" w:rsidTr="00E44AC3">
        <w:tc>
          <w:tcPr>
            <w:tcW w:w="2418" w:type="dxa"/>
          </w:tcPr>
          <w:p w14:paraId="39C4FBCF" w14:textId="77777777" w:rsidR="00E44AC3" w:rsidRPr="00CA076C" w:rsidRDefault="00E44AC3" w:rsidP="00A15C78">
            <w:pPr>
              <w:jc w:val="left"/>
            </w:pPr>
            <w:r w:rsidRPr="00CA076C">
              <w:t>Betroffener</w:t>
            </w:r>
          </w:p>
        </w:tc>
        <w:tc>
          <w:tcPr>
            <w:tcW w:w="6870" w:type="dxa"/>
          </w:tcPr>
          <w:p w14:paraId="54FCF47D" w14:textId="77777777" w:rsidR="00E44AC3" w:rsidRPr="00CA076C" w:rsidRDefault="00E44AC3" w:rsidP="00A15C78">
            <w:pPr>
              <w:jc w:val="left"/>
            </w:pPr>
            <w:r w:rsidRPr="00CA076C">
              <w:t>Genau genommen „betroffene Person“, in der gesamten Literatur aber als "Betroffener" aufgeführt;</w:t>
            </w:r>
          </w:p>
          <w:p w14:paraId="073C3369" w14:textId="77777777" w:rsidR="00E44AC3" w:rsidRPr="00CA076C" w:rsidRDefault="00E44AC3" w:rsidP="00A15C78">
            <w:pPr>
              <w:jc w:val="left"/>
            </w:pPr>
            <w:r w:rsidRPr="00CA076C">
              <w:t>Art. 4 Ziff. 1 DS-GVO</w:t>
            </w:r>
          </w:p>
          <w:p w14:paraId="2B8CE803" w14:textId="77777777" w:rsidR="00E44AC3" w:rsidRPr="00CA076C" w:rsidRDefault="00E44AC3" w:rsidP="00A15C78">
            <w:pPr>
              <w:jc w:val="left"/>
            </w:pPr>
            <w:r w:rsidRPr="00CA076C">
              <w:t>„</w:t>
            </w:r>
            <w:r w:rsidRPr="00CA076C">
              <w:sym w:font="Symbol" w:char="F0A2"/>
            </w:r>
            <w:r w:rsidRPr="00CA076C">
              <w:t>Personenbezogene Daten</w:t>
            </w:r>
            <w:r w:rsidRPr="00CA076C">
              <w:sym w:font="Symbol" w:char="F0A2"/>
            </w:r>
            <w:r w:rsidRPr="00CA076C">
              <w:t xml:space="preserve">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tc>
      </w:tr>
      <w:tr w:rsidR="00E44AC3" w:rsidRPr="00CA076C" w14:paraId="08C4EFA8" w14:textId="77777777" w:rsidTr="00E44AC3">
        <w:tc>
          <w:tcPr>
            <w:tcW w:w="2418" w:type="dxa"/>
          </w:tcPr>
          <w:p w14:paraId="3593EA09" w14:textId="77777777" w:rsidR="00E44AC3" w:rsidRPr="00CA076C" w:rsidRDefault="00E44AC3" w:rsidP="00A15C78">
            <w:pPr>
              <w:jc w:val="left"/>
            </w:pPr>
            <w:r w:rsidRPr="00CA076C">
              <w:t>Datei</w:t>
            </w:r>
          </w:p>
        </w:tc>
        <w:tc>
          <w:tcPr>
            <w:tcW w:w="6870" w:type="dxa"/>
          </w:tcPr>
          <w:p w14:paraId="06862D2C" w14:textId="77777777" w:rsidR="00E44AC3" w:rsidRPr="00CA076C" w:rsidRDefault="00E44AC3" w:rsidP="00A15C78">
            <w:pPr>
              <w:jc w:val="left"/>
            </w:pPr>
            <w:r w:rsidRPr="00CA076C">
              <w:t>Im informationstechnischem Sinn:</w:t>
            </w:r>
          </w:p>
          <w:p w14:paraId="647F928D" w14:textId="77777777" w:rsidR="00E44AC3" w:rsidRPr="00CA076C" w:rsidRDefault="00E44AC3" w:rsidP="00A15C78">
            <w:pPr>
              <w:jc w:val="left"/>
            </w:pPr>
            <w:r w:rsidRPr="00CA076C">
              <w:t>Gruppe von gespeicherten oder als eine Einheit bearbeiteten Aufzeichnungen</w:t>
            </w:r>
          </w:p>
          <w:p w14:paraId="0D261374" w14:textId="77777777" w:rsidR="00E44AC3" w:rsidRPr="00CA076C" w:rsidRDefault="00E44AC3" w:rsidP="00A15C78">
            <w:pPr>
              <w:jc w:val="left"/>
            </w:pPr>
            <w:r w:rsidRPr="00CA076C">
              <w:t>(Quelle: ISO/IEC 2382:2015)</w:t>
            </w:r>
          </w:p>
        </w:tc>
      </w:tr>
      <w:tr w:rsidR="00E44AC3" w:rsidRPr="00CA076C" w14:paraId="0986A478" w14:textId="77777777" w:rsidTr="00E44AC3">
        <w:tc>
          <w:tcPr>
            <w:tcW w:w="2418" w:type="dxa"/>
          </w:tcPr>
          <w:p w14:paraId="062AC173" w14:textId="77777777" w:rsidR="00E44AC3" w:rsidRPr="00CA076C" w:rsidRDefault="00E44AC3" w:rsidP="00A15C78">
            <w:pPr>
              <w:jc w:val="left"/>
            </w:pPr>
            <w:r w:rsidRPr="00CA076C">
              <w:t>Daten/Datum</w:t>
            </w:r>
          </w:p>
        </w:tc>
        <w:tc>
          <w:tcPr>
            <w:tcW w:w="6870" w:type="dxa"/>
          </w:tcPr>
          <w:p w14:paraId="314BFBD8" w14:textId="77777777" w:rsidR="00E44AC3" w:rsidRPr="00CA076C" w:rsidRDefault="00E44AC3" w:rsidP="00A15C78">
            <w:pPr>
              <w:jc w:val="left"/>
            </w:pPr>
            <w:r w:rsidRPr="00CA076C">
              <w:t>Im Informationstechnischem Sinn:</w:t>
            </w:r>
          </w:p>
          <w:p w14:paraId="4B09679B" w14:textId="77777777" w:rsidR="00E44AC3" w:rsidRPr="00CA076C" w:rsidRDefault="00E44AC3" w:rsidP="00A15C78">
            <w:pPr>
              <w:jc w:val="left"/>
            </w:pPr>
            <w:r w:rsidRPr="00CA076C">
              <w:t xml:space="preserve">Die </w:t>
            </w:r>
            <w:proofErr w:type="spellStart"/>
            <w:r w:rsidRPr="00CA076C">
              <w:t>re</w:t>
            </w:r>
            <w:proofErr w:type="spellEnd"/>
            <w:r w:rsidRPr="00CA076C">
              <w:t>-interpretierbare Darstellung von Information in einer formalisierten für Kommunikation, Interpretation, oder Bearbeitung geeigneten Weise</w:t>
            </w:r>
          </w:p>
          <w:p w14:paraId="42D892DB" w14:textId="77777777" w:rsidR="00E44AC3" w:rsidRPr="00CA076C" w:rsidRDefault="00E44AC3" w:rsidP="00A15C78">
            <w:pPr>
              <w:jc w:val="left"/>
            </w:pPr>
            <w:r w:rsidRPr="00CA076C">
              <w:t>(Quelle: ISO/IEC 2382:2015)</w:t>
            </w:r>
          </w:p>
        </w:tc>
      </w:tr>
      <w:tr w:rsidR="00E44AC3" w:rsidRPr="00CA076C" w14:paraId="300C4F94" w14:textId="77777777" w:rsidTr="00E44AC3">
        <w:tc>
          <w:tcPr>
            <w:tcW w:w="2418" w:type="dxa"/>
          </w:tcPr>
          <w:p w14:paraId="0D6038F5" w14:textId="77777777" w:rsidR="00E44AC3" w:rsidRPr="00CA076C" w:rsidRDefault="00E44AC3" w:rsidP="00A15C78">
            <w:pPr>
              <w:jc w:val="left"/>
            </w:pPr>
            <w:r w:rsidRPr="00CA076C">
              <w:t>Datenschutzverletzung</w:t>
            </w:r>
          </w:p>
        </w:tc>
        <w:tc>
          <w:tcPr>
            <w:tcW w:w="6870" w:type="dxa"/>
          </w:tcPr>
          <w:p w14:paraId="3F75CCAC" w14:textId="77777777" w:rsidR="00E44AC3" w:rsidRPr="00CA076C" w:rsidRDefault="00E44AC3" w:rsidP="00A15C78">
            <w:pPr>
              <w:jc w:val="left"/>
            </w:pPr>
            <w:r w:rsidRPr="00CA076C">
              <w:t>Situation, in der Daten einer Person auf illegale Weise oder unter Verletzung einer oder mehrerer relevanter Datenschutzbestimmungen verarbeitet wurde</w:t>
            </w:r>
          </w:p>
          <w:p w14:paraId="2539A8C5" w14:textId="77777777" w:rsidR="00E44AC3" w:rsidRPr="00CA076C" w:rsidRDefault="00E44AC3" w:rsidP="00A15C78">
            <w:pPr>
              <w:jc w:val="left"/>
            </w:pPr>
            <w:r w:rsidRPr="00CA076C">
              <w:t>(Quelle: DIN CEN ISO/TS 14265)</w:t>
            </w:r>
          </w:p>
        </w:tc>
      </w:tr>
      <w:tr w:rsidR="00E44AC3" w:rsidRPr="00CA076C" w14:paraId="7D440B69" w14:textId="77777777" w:rsidTr="00E44AC3">
        <w:tc>
          <w:tcPr>
            <w:tcW w:w="2418" w:type="dxa"/>
          </w:tcPr>
          <w:p w14:paraId="6355BB94" w14:textId="77777777" w:rsidR="00E44AC3" w:rsidRPr="00CA076C" w:rsidRDefault="00E44AC3" w:rsidP="00A15C78">
            <w:pPr>
              <w:jc w:val="left"/>
            </w:pPr>
            <w:r w:rsidRPr="00CA076C">
              <w:t>Genetische Daten</w:t>
            </w:r>
          </w:p>
        </w:tc>
        <w:tc>
          <w:tcPr>
            <w:tcW w:w="6870" w:type="dxa"/>
          </w:tcPr>
          <w:p w14:paraId="6B09FC4C" w14:textId="77777777" w:rsidR="00E44AC3" w:rsidRPr="00CA076C" w:rsidRDefault="00E44AC3" w:rsidP="00A15C78">
            <w:pPr>
              <w:jc w:val="left"/>
            </w:pPr>
            <w:r w:rsidRPr="00CA076C">
              <w:t>Art. 4 Ziff. 13 DS-GVO</w:t>
            </w:r>
          </w:p>
          <w:p w14:paraId="7920E026" w14:textId="77777777" w:rsidR="00E44AC3" w:rsidRPr="00CA076C" w:rsidRDefault="00E44AC3" w:rsidP="00A15C78">
            <w:pPr>
              <w:jc w:val="left"/>
            </w:pPr>
            <w:r w:rsidRPr="00CA076C">
              <w:t>„</w:t>
            </w:r>
            <w:r w:rsidRPr="00CA076C">
              <w:sym w:font="Symbol" w:char="F0A2"/>
            </w:r>
            <w:r w:rsidRPr="00CA076C">
              <w:t>Genetische Daten</w:t>
            </w:r>
            <w:r w:rsidRPr="00CA076C">
              <w:sym w:font="Symbol" w:char="F0A2"/>
            </w:r>
            <w:r w:rsidRPr="00CA076C">
              <w:t xml:space="preserve"> personenbezogene Daten zu den ererbten oder erworbenen genetischen Eigenschaften einer natürlichen Person, die eindeutige Informationen über die Physiologie oder die Gesundheit dieser natürlichen Person liefern und insbesondere aus der Analyse einer biologischen Probe der betreffenden natürlichen Person gewonnen wurden“</w:t>
            </w:r>
          </w:p>
        </w:tc>
      </w:tr>
      <w:tr w:rsidR="00E44AC3" w:rsidRPr="00CA076C" w14:paraId="63AE81F4" w14:textId="77777777" w:rsidTr="00E44AC3">
        <w:tc>
          <w:tcPr>
            <w:tcW w:w="2418" w:type="dxa"/>
          </w:tcPr>
          <w:p w14:paraId="3676B3DB" w14:textId="77777777" w:rsidR="00E44AC3" w:rsidRPr="00CA076C" w:rsidRDefault="00E44AC3" w:rsidP="00A15C78">
            <w:pPr>
              <w:jc w:val="left"/>
            </w:pPr>
            <w:r w:rsidRPr="00CA076C">
              <w:t>Gesundheitsdaten</w:t>
            </w:r>
          </w:p>
        </w:tc>
        <w:tc>
          <w:tcPr>
            <w:tcW w:w="6870" w:type="dxa"/>
          </w:tcPr>
          <w:p w14:paraId="02DEA404" w14:textId="77777777" w:rsidR="00E44AC3" w:rsidRPr="00CA076C" w:rsidRDefault="00E44AC3" w:rsidP="00A15C78">
            <w:pPr>
              <w:jc w:val="left"/>
            </w:pPr>
            <w:r w:rsidRPr="00CA076C">
              <w:t>Art. 4 Ziff. 15 DS-GVO</w:t>
            </w:r>
          </w:p>
          <w:p w14:paraId="3246DD8F" w14:textId="77777777" w:rsidR="00E44AC3" w:rsidRPr="00CA076C" w:rsidRDefault="00E44AC3" w:rsidP="00A15C78">
            <w:pPr>
              <w:jc w:val="left"/>
            </w:pPr>
            <w:r w:rsidRPr="00CA076C">
              <w:t>„</w:t>
            </w:r>
            <w:r w:rsidRPr="00CA076C">
              <w:sym w:font="Symbol" w:char="F0A2"/>
            </w:r>
            <w:r w:rsidRPr="00CA076C">
              <w:t>Gesundheitsdaten</w:t>
            </w:r>
            <w:r w:rsidRPr="00CA076C">
              <w:sym w:font="Symbol" w:char="F0A2"/>
            </w:r>
            <w:r w:rsidRPr="00CA076C">
              <w:t xml:space="preserve"> personenbezogene Daten, die sich auf die körperliche oder geistige Gesundheit einer natürlichen Person, einschließlich der Erbringung von Gesundheitsdienstleistungen, beziehen und aus denen Informationen über deren Gesundheitszustand hervorgehen“</w:t>
            </w:r>
          </w:p>
        </w:tc>
      </w:tr>
      <w:tr w:rsidR="00E44AC3" w:rsidRPr="00CA076C" w14:paraId="007764CE" w14:textId="77777777" w:rsidTr="00E44AC3">
        <w:tc>
          <w:tcPr>
            <w:tcW w:w="2418" w:type="dxa"/>
          </w:tcPr>
          <w:p w14:paraId="38BC57AA" w14:textId="77777777" w:rsidR="00E44AC3" w:rsidRPr="00CA076C" w:rsidRDefault="00E44AC3" w:rsidP="00A15C78">
            <w:pPr>
              <w:jc w:val="left"/>
            </w:pPr>
            <w:r w:rsidRPr="00CA076C">
              <w:t>Integrität</w:t>
            </w:r>
          </w:p>
        </w:tc>
        <w:tc>
          <w:tcPr>
            <w:tcW w:w="6870" w:type="dxa"/>
          </w:tcPr>
          <w:p w14:paraId="2C7BEF6C" w14:textId="77777777" w:rsidR="00E44AC3" w:rsidRPr="00CA076C" w:rsidRDefault="00E44AC3" w:rsidP="00A15C78">
            <w:pPr>
              <w:jc w:val="left"/>
            </w:pPr>
            <w:r w:rsidRPr="00CA076C">
              <w:t>Eigenschaft, die bedingt, dass die Information in keiner Weise, weder absichtlich noch unabsichtlich, geändert wird</w:t>
            </w:r>
            <w:r w:rsidRPr="00CA076C">
              <w:br/>
              <w:t>(Quelle: DIN EN ISO 22600-2)</w:t>
            </w:r>
          </w:p>
          <w:p w14:paraId="299CD3D5" w14:textId="77777777" w:rsidR="00E44AC3" w:rsidRPr="00CA076C" w:rsidRDefault="00E44AC3" w:rsidP="00A15C78">
            <w:pPr>
              <w:jc w:val="left"/>
            </w:pPr>
            <w:r w:rsidRPr="00CA076C">
              <w:t>Eigenschaft der Absicherung von Richtigkeit und Vollständigkeit von Werten</w:t>
            </w:r>
            <w:r w:rsidRPr="00CA076C">
              <w:br/>
              <w:t>(Quelle: DIN ISO/IEC 27000)</w:t>
            </w:r>
          </w:p>
        </w:tc>
      </w:tr>
      <w:tr w:rsidR="00E44AC3" w:rsidRPr="00CA076C" w14:paraId="30B32029" w14:textId="77777777" w:rsidTr="00E44AC3">
        <w:tc>
          <w:tcPr>
            <w:tcW w:w="2418" w:type="dxa"/>
          </w:tcPr>
          <w:p w14:paraId="7F62DED1" w14:textId="77777777" w:rsidR="00E44AC3" w:rsidRPr="00CA076C" w:rsidRDefault="00E44AC3" w:rsidP="00A15C78">
            <w:pPr>
              <w:jc w:val="left"/>
            </w:pPr>
            <w:r w:rsidRPr="00CA076C">
              <w:t>Kryptographie</w:t>
            </w:r>
          </w:p>
        </w:tc>
        <w:tc>
          <w:tcPr>
            <w:tcW w:w="6870" w:type="dxa"/>
          </w:tcPr>
          <w:p w14:paraId="0F0AE9AC" w14:textId="77777777" w:rsidR="00E44AC3" w:rsidRPr="00CA076C" w:rsidRDefault="00E44AC3" w:rsidP="00A15C78">
            <w:pPr>
              <w:jc w:val="left"/>
            </w:pPr>
            <w:r w:rsidRPr="00CA076C">
              <w:t>Disziplin, die Grundsätze, Mittel und Verfahren für die Umwandlung von Daten mit dem Ziel verkörpert, deren Informationsgehalt zu verbergen und ihre unerkannte Änderung und/oder nicht autorisierte Nutzung zu verhindern</w:t>
            </w:r>
            <w:r w:rsidRPr="00CA076C">
              <w:br/>
            </w:r>
            <w:r w:rsidRPr="00CA076C">
              <w:lastRenderedPageBreak/>
              <w:t>(Quelle: DIN EN ISO 22600-3)</w:t>
            </w:r>
          </w:p>
        </w:tc>
      </w:tr>
      <w:tr w:rsidR="00E44AC3" w:rsidRPr="00CA076C" w14:paraId="7B6409A5" w14:textId="77777777" w:rsidTr="00E44AC3">
        <w:tc>
          <w:tcPr>
            <w:tcW w:w="2418" w:type="dxa"/>
          </w:tcPr>
          <w:p w14:paraId="62E592F8" w14:textId="77777777" w:rsidR="00E44AC3" w:rsidRPr="00CA076C" w:rsidRDefault="00E44AC3" w:rsidP="00A15C78">
            <w:pPr>
              <w:jc w:val="left"/>
            </w:pPr>
            <w:r w:rsidRPr="00CA076C">
              <w:lastRenderedPageBreak/>
              <w:t>Maßnahme</w:t>
            </w:r>
          </w:p>
        </w:tc>
        <w:tc>
          <w:tcPr>
            <w:tcW w:w="6870" w:type="dxa"/>
          </w:tcPr>
          <w:p w14:paraId="1C441846" w14:textId="77777777" w:rsidR="00E44AC3" w:rsidRPr="00CA076C" w:rsidRDefault="00E44AC3" w:rsidP="00A15C78">
            <w:pPr>
              <w:jc w:val="left"/>
            </w:pPr>
            <w:r w:rsidRPr="00CA076C">
              <w:t>Mittel zum Management von Risiken, einschließlich von Leitlinien, Verfahren, Richtlinien, Methoden oder Organisationsstrukturen, die verwaltender, technischer, leitender oder gesetzlicher Natur sein können</w:t>
            </w:r>
            <w:r w:rsidRPr="00CA076C">
              <w:br/>
              <w:t>(Quelle: DIN ISO/IEC 27000)</w:t>
            </w:r>
          </w:p>
        </w:tc>
      </w:tr>
      <w:tr w:rsidR="00E44AC3" w:rsidRPr="00CA076C" w14:paraId="4595D09C" w14:textId="77777777" w:rsidTr="00E44AC3">
        <w:tc>
          <w:tcPr>
            <w:tcW w:w="2418" w:type="dxa"/>
          </w:tcPr>
          <w:p w14:paraId="47D30570" w14:textId="77777777" w:rsidR="00E44AC3" w:rsidRPr="00CA076C" w:rsidRDefault="00E44AC3" w:rsidP="00A15C78">
            <w:pPr>
              <w:jc w:val="left"/>
            </w:pPr>
            <w:r w:rsidRPr="00CA076C">
              <w:t>Normadressat</w:t>
            </w:r>
          </w:p>
        </w:tc>
        <w:tc>
          <w:tcPr>
            <w:tcW w:w="6870" w:type="dxa"/>
          </w:tcPr>
          <w:p w14:paraId="05847554" w14:textId="77777777" w:rsidR="00E44AC3" w:rsidRPr="00CA076C" w:rsidRDefault="00E44AC3" w:rsidP="00A15C78">
            <w:pPr>
              <w:jc w:val="left"/>
            </w:pPr>
            <w:r w:rsidRPr="00CA076C">
              <w:t>Rechtssubjekt (z.B. natürliche Person, juristische Person, Personenvereinigung), an die sich die Regelung eines Gesetzes (= einer Norm) richtet</w:t>
            </w:r>
          </w:p>
        </w:tc>
      </w:tr>
      <w:tr w:rsidR="00E44AC3" w:rsidRPr="00CA076C" w14:paraId="676621C4" w14:textId="77777777" w:rsidTr="00E44AC3">
        <w:tc>
          <w:tcPr>
            <w:tcW w:w="2418" w:type="dxa"/>
          </w:tcPr>
          <w:p w14:paraId="1F70DA40" w14:textId="77777777" w:rsidR="00E44AC3" w:rsidRPr="00CA076C" w:rsidRDefault="00E44AC3" w:rsidP="00A15C78">
            <w:pPr>
              <w:jc w:val="left"/>
            </w:pPr>
            <w:r w:rsidRPr="00CA076C">
              <w:t>Offenlegung</w:t>
            </w:r>
          </w:p>
        </w:tc>
        <w:tc>
          <w:tcPr>
            <w:tcW w:w="6870" w:type="dxa"/>
          </w:tcPr>
          <w:p w14:paraId="47717A1A" w14:textId="77777777" w:rsidR="00E44AC3" w:rsidRPr="00CA076C" w:rsidRDefault="00E44AC3" w:rsidP="00A15C78">
            <w:pPr>
              <w:jc w:val="left"/>
            </w:pPr>
            <w:r w:rsidRPr="00CA076C">
              <w:t>Preisgabe von Daten an Personen, die nicht routinemäßig über die entsprechende Berechtigung verfügen</w:t>
            </w:r>
            <w:r w:rsidRPr="00CA076C">
              <w:br/>
              <w:t>(Quelle: DIN CEN ISO/TS 14265)</w:t>
            </w:r>
          </w:p>
        </w:tc>
      </w:tr>
      <w:tr w:rsidR="00E44AC3" w:rsidRPr="00CA076C" w14:paraId="7375DF79" w14:textId="77777777" w:rsidTr="00E44AC3">
        <w:tc>
          <w:tcPr>
            <w:tcW w:w="2418" w:type="dxa"/>
          </w:tcPr>
          <w:p w14:paraId="542A52BD" w14:textId="77777777" w:rsidR="00E44AC3" w:rsidRPr="00CA076C" w:rsidRDefault="00E44AC3" w:rsidP="00A15C78">
            <w:pPr>
              <w:jc w:val="left"/>
            </w:pPr>
            <w:r w:rsidRPr="00CA076C">
              <w:t>Restrisiko</w:t>
            </w:r>
          </w:p>
        </w:tc>
        <w:tc>
          <w:tcPr>
            <w:tcW w:w="6870" w:type="dxa"/>
          </w:tcPr>
          <w:p w14:paraId="76B50422" w14:textId="77777777" w:rsidR="00E44AC3" w:rsidRPr="00CA076C" w:rsidRDefault="00E44AC3" w:rsidP="00A15C78">
            <w:pPr>
              <w:jc w:val="left"/>
            </w:pPr>
            <w:r w:rsidRPr="00CA076C">
              <w:t>nach der Risikobehandlung verbleibende Risiko</w:t>
            </w:r>
          </w:p>
          <w:p w14:paraId="196C86A3" w14:textId="77777777" w:rsidR="00E44AC3" w:rsidRPr="00CA076C" w:rsidRDefault="00E44AC3" w:rsidP="00A15C78">
            <w:pPr>
              <w:jc w:val="left"/>
            </w:pPr>
            <w:r w:rsidRPr="00CA076C">
              <w:t>(Quelle: DIN ISO IEC 27001)</w:t>
            </w:r>
          </w:p>
        </w:tc>
      </w:tr>
      <w:tr w:rsidR="00E44AC3" w:rsidRPr="00CA076C" w14:paraId="39948AA4" w14:textId="77777777" w:rsidTr="00E44AC3">
        <w:tc>
          <w:tcPr>
            <w:tcW w:w="2418" w:type="dxa"/>
          </w:tcPr>
          <w:p w14:paraId="0C0B1102" w14:textId="77777777" w:rsidR="00E44AC3" w:rsidRPr="00CA076C" w:rsidRDefault="00E44AC3" w:rsidP="00A15C78">
            <w:pPr>
              <w:jc w:val="left"/>
            </w:pPr>
            <w:r w:rsidRPr="00CA076C">
              <w:t>Risiko</w:t>
            </w:r>
          </w:p>
        </w:tc>
        <w:tc>
          <w:tcPr>
            <w:tcW w:w="6870" w:type="dxa"/>
          </w:tcPr>
          <w:p w14:paraId="1F982A82" w14:textId="77777777" w:rsidR="00E44AC3" w:rsidRPr="00CA076C" w:rsidRDefault="00E44AC3" w:rsidP="00A15C78">
            <w:pPr>
              <w:autoSpaceDE w:val="0"/>
              <w:autoSpaceDN w:val="0"/>
              <w:adjustRightInd w:val="0"/>
              <w:jc w:val="left"/>
              <w:rPr>
                <w:rFonts w:cs="Arial"/>
                <w:color w:val="000000"/>
                <w:sz w:val="20"/>
                <w:szCs w:val="20"/>
              </w:rPr>
            </w:pPr>
            <w:r w:rsidRPr="00CA076C">
              <w:rPr>
                <w:rFonts w:cs="Arial"/>
                <w:color w:val="000000"/>
                <w:sz w:val="20"/>
                <w:szCs w:val="20"/>
              </w:rPr>
              <w:t>Kombination aus der (Eintritts-) Wahrscheinlichkeit eines Ereignisses und dessen Auswirkungen</w:t>
            </w:r>
          </w:p>
          <w:p w14:paraId="2BA37A38" w14:textId="77777777" w:rsidR="00E44AC3" w:rsidRPr="00CA076C" w:rsidRDefault="00E44AC3" w:rsidP="00A15C78">
            <w:pPr>
              <w:jc w:val="left"/>
            </w:pPr>
            <w:r w:rsidRPr="00CA076C">
              <w:rPr>
                <w:rFonts w:cs="Arial"/>
                <w:color w:val="000000"/>
                <w:sz w:val="20"/>
                <w:szCs w:val="20"/>
              </w:rPr>
              <w:t>(Quelle: DIN ISO IEC 27000)</w:t>
            </w:r>
          </w:p>
        </w:tc>
      </w:tr>
      <w:tr w:rsidR="00E44AC3" w:rsidRPr="00CA076C" w14:paraId="1D669584" w14:textId="77777777" w:rsidTr="00E44AC3">
        <w:tc>
          <w:tcPr>
            <w:tcW w:w="2418" w:type="dxa"/>
          </w:tcPr>
          <w:p w14:paraId="12977652" w14:textId="77777777" w:rsidR="00E44AC3" w:rsidRPr="00CA076C" w:rsidRDefault="00E44AC3" w:rsidP="00A15C78">
            <w:pPr>
              <w:jc w:val="left"/>
            </w:pPr>
            <w:r w:rsidRPr="00CA076C">
              <w:t>Risikoakzeptanz</w:t>
            </w:r>
          </w:p>
        </w:tc>
        <w:tc>
          <w:tcPr>
            <w:tcW w:w="6870" w:type="dxa"/>
          </w:tcPr>
          <w:p w14:paraId="57A2D8DE" w14:textId="77777777" w:rsidR="00E44AC3" w:rsidRPr="00CA076C" w:rsidRDefault="00E44AC3" w:rsidP="00A15C78">
            <w:pPr>
              <w:jc w:val="left"/>
            </w:pPr>
            <w:r w:rsidRPr="00CA076C">
              <w:t>Entscheidung, ein Risiko zu akzeptieren</w:t>
            </w:r>
            <w:r w:rsidRPr="00CA076C">
              <w:br/>
              <w:t>(Quelle: DIN ISO/IEC 27000)</w:t>
            </w:r>
          </w:p>
        </w:tc>
      </w:tr>
      <w:tr w:rsidR="00E44AC3" w:rsidRPr="00CA076C" w14:paraId="48E6C168" w14:textId="77777777" w:rsidTr="00E44AC3">
        <w:tc>
          <w:tcPr>
            <w:tcW w:w="2418" w:type="dxa"/>
          </w:tcPr>
          <w:p w14:paraId="0382ACC4" w14:textId="77777777" w:rsidR="00E44AC3" w:rsidRPr="00CA076C" w:rsidRDefault="00E44AC3" w:rsidP="00A15C78">
            <w:pPr>
              <w:jc w:val="left"/>
            </w:pPr>
            <w:r w:rsidRPr="00CA076C">
              <w:t>Risikoanalyse</w:t>
            </w:r>
          </w:p>
        </w:tc>
        <w:tc>
          <w:tcPr>
            <w:tcW w:w="6870" w:type="dxa"/>
          </w:tcPr>
          <w:p w14:paraId="472A9D71" w14:textId="77777777" w:rsidR="00E44AC3" w:rsidRPr="00CA076C" w:rsidRDefault="00E44AC3" w:rsidP="00A15C78">
            <w:pPr>
              <w:jc w:val="left"/>
            </w:pPr>
            <w:r w:rsidRPr="00CA076C">
              <w:t>Systematischer Gebrauch von Informationen zur Identifizierung von Risikoquellen und zur Abschätzung des Risikos</w:t>
            </w:r>
            <w:r w:rsidRPr="00CA076C">
              <w:br/>
              <w:t>(Quelle: DIN ISO/IEC 27000)</w:t>
            </w:r>
          </w:p>
        </w:tc>
      </w:tr>
      <w:tr w:rsidR="00E44AC3" w:rsidRPr="00CA076C" w14:paraId="70008871" w14:textId="77777777" w:rsidTr="00E44AC3">
        <w:tc>
          <w:tcPr>
            <w:tcW w:w="2418" w:type="dxa"/>
          </w:tcPr>
          <w:p w14:paraId="579685F3" w14:textId="77777777" w:rsidR="00E44AC3" w:rsidRPr="00CA076C" w:rsidRDefault="00E44AC3" w:rsidP="00A15C78">
            <w:pPr>
              <w:jc w:val="left"/>
            </w:pPr>
            <w:r w:rsidRPr="00CA076C">
              <w:t>Risikobehandlung</w:t>
            </w:r>
          </w:p>
        </w:tc>
        <w:tc>
          <w:tcPr>
            <w:tcW w:w="6870" w:type="dxa"/>
          </w:tcPr>
          <w:p w14:paraId="449DACF2" w14:textId="77777777" w:rsidR="00E44AC3" w:rsidRPr="00CA076C" w:rsidRDefault="00E44AC3" w:rsidP="00A15C78">
            <w:pPr>
              <w:jc w:val="left"/>
            </w:pPr>
            <w:r w:rsidRPr="00CA076C">
              <w:t>Prozess der Auswahl und Umsetzung von Maßnahmen zur Modifizierung des Risikos</w:t>
            </w:r>
            <w:r w:rsidRPr="00CA076C">
              <w:br/>
              <w:t>(Quelle: DIN ISO/IEC 27000)</w:t>
            </w:r>
          </w:p>
        </w:tc>
      </w:tr>
      <w:tr w:rsidR="00E44AC3" w:rsidRPr="00CA076C" w14:paraId="72728FEA" w14:textId="77777777" w:rsidTr="00E44AC3">
        <w:tc>
          <w:tcPr>
            <w:tcW w:w="2418" w:type="dxa"/>
          </w:tcPr>
          <w:p w14:paraId="5F7F50A8" w14:textId="77777777" w:rsidR="00E44AC3" w:rsidRPr="00CA076C" w:rsidRDefault="00E44AC3" w:rsidP="00A15C78">
            <w:pPr>
              <w:jc w:val="left"/>
            </w:pPr>
            <w:r w:rsidRPr="00CA076C">
              <w:t>Risikobestimmung</w:t>
            </w:r>
          </w:p>
        </w:tc>
        <w:tc>
          <w:tcPr>
            <w:tcW w:w="6870" w:type="dxa"/>
          </w:tcPr>
          <w:p w14:paraId="324635BE" w14:textId="77777777" w:rsidR="00E44AC3" w:rsidRPr="00CA076C" w:rsidRDefault="00E44AC3" w:rsidP="00A15C78">
            <w:pPr>
              <w:jc w:val="left"/>
            </w:pPr>
            <w:r w:rsidRPr="00CA076C">
              <w:t xml:space="preserve">Tätigkeit, bei der der Wahrscheinlichkeit und den Auswirkungen eines Risikos Werte zugeordnet </w:t>
            </w:r>
          </w:p>
          <w:p w14:paraId="4A888567" w14:textId="77777777" w:rsidR="00E44AC3" w:rsidRPr="00CA076C" w:rsidRDefault="00E44AC3" w:rsidP="00A15C78">
            <w:pPr>
              <w:jc w:val="left"/>
            </w:pPr>
            <w:r w:rsidRPr="00CA076C">
              <w:t>werden</w:t>
            </w:r>
            <w:r w:rsidRPr="00CA076C">
              <w:br/>
              <w:t>(Quelle: DIN ISO/IEC 27000)</w:t>
            </w:r>
          </w:p>
        </w:tc>
      </w:tr>
      <w:tr w:rsidR="00E44AC3" w:rsidRPr="00CA076C" w14:paraId="103092E9" w14:textId="77777777" w:rsidTr="00E44AC3">
        <w:tc>
          <w:tcPr>
            <w:tcW w:w="2418" w:type="dxa"/>
          </w:tcPr>
          <w:p w14:paraId="3007F97F" w14:textId="77777777" w:rsidR="00E44AC3" w:rsidRPr="00CA076C" w:rsidRDefault="00E44AC3" w:rsidP="00A15C78">
            <w:pPr>
              <w:jc w:val="left"/>
            </w:pPr>
            <w:r w:rsidRPr="00CA076C">
              <w:t>Risikobewertung</w:t>
            </w:r>
          </w:p>
        </w:tc>
        <w:tc>
          <w:tcPr>
            <w:tcW w:w="6870" w:type="dxa"/>
          </w:tcPr>
          <w:p w14:paraId="3CFB4FC8" w14:textId="77777777" w:rsidR="00E44AC3" w:rsidRPr="00CA076C" w:rsidRDefault="00E44AC3" w:rsidP="00A15C78">
            <w:pPr>
              <w:jc w:val="left"/>
            </w:pPr>
            <w:r w:rsidRPr="00CA076C">
              <w:t>Prozess, in dem das eingeschätzte Risiko mit den festgelegten Risikokriterien verglichen wird, um die Bedeutung des Risikos zu bestimmen</w:t>
            </w:r>
            <w:r w:rsidRPr="00CA076C">
              <w:br/>
              <w:t>(Quelle: DIN ISO/IEC 27000)</w:t>
            </w:r>
          </w:p>
        </w:tc>
      </w:tr>
      <w:tr w:rsidR="00E44AC3" w:rsidRPr="00CA076C" w14:paraId="59742360" w14:textId="77777777" w:rsidTr="00E44AC3">
        <w:tc>
          <w:tcPr>
            <w:tcW w:w="2418" w:type="dxa"/>
          </w:tcPr>
          <w:p w14:paraId="3280B3A9" w14:textId="77777777" w:rsidR="00E44AC3" w:rsidRPr="00CA076C" w:rsidRDefault="00E44AC3" w:rsidP="00A15C78">
            <w:pPr>
              <w:jc w:val="left"/>
            </w:pPr>
            <w:r w:rsidRPr="00CA076C">
              <w:t>Risikoeinschätzung</w:t>
            </w:r>
          </w:p>
        </w:tc>
        <w:tc>
          <w:tcPr>
            <w:tcW w:w="6870" w:type="dxa"/>
          </w:tcPr>
          <w:p w14:paraId="0E792B05" w14:textId="77777777" w:rsidR="00E44AC3" w:rsidRPr="00CA076C" w:rsidRDefault="00E44AC3" w:rsidP="00A15C78">
            <w:pPr>
              <w:jc w:val="left"/>
            </w:pPr>
            <w:r w:rsidRPr="00CA076C">
              <w:t>Gesamter Prozess der Risikoanalyse und Risikobewertung</w:t>
            </w:r>
            <w:r w:rsidRPr="00CA076C">
              <w:br/>
              <w:t>(Quelle: DIN ISO/IEC 27000)</w:t>
            </w:r>
          </w:p>
        </w:tc>
      </w:tr>
      <w:tr w:rsidR="00E44AC3" w:rsidRPr="00CA076C" w14:paraId="4B849D4C" w14:textId="77777777" w:rsidTr="00E44AC3">
        <w:tc>
          <w:tcPr>
            <w:tcW w:w="2418" w:type="dxa"/>
          </w:tcPr>
          <w:p w14:paraId="577DFB6E" w14:textId="77777777" w:rsidR="00E44AC3" w:rsidRPr="00CA076C" w:rsidRDefault="00E44AC3" w:rsidP="00A15C78">
            <w:pPr>
              <w:jc w:val="left"/>
            </w:pPr>
            <w:r w:rsidRPr="00CA076C">
              <w:t>Risikokommunikation</w:t>
            </w:r>
          </w:p>
        </w:tc>
        <w:tc>
          <w:tcPr>
            <w:tcW w:w="6870" w:type="dxa"/>
          </w:tcPr>
          <w:p w14:paraId="172397D6" w14:textId="77777777" w:rsidR="00E44AC3" w:rsidRPr="00CA076C" w:rsidRDefault="00E44AC3" w:rsidP="00A15C78">
            <w:pPr>
              <w:jc w:val="left"/>
            </w:pPr>
            <w:r w:rsidRPr="00CA076C">
              <w:t>Austausch oder gemeinsame Nutzung von Informationen über Risiken zwischen Entscheidungsträgern und anderen Stakeholdern</w:t>
            </w:r>
            <w:r w:rsidRPr="00CA076C">
              <w:br/>
              <w:t>(Quelle: DIN ISO/IEC 27000)</w:t>
            </w:r>
          </w:p>
        </w:tc>
      </w:tr>
      <w:tr w:rsidR="00E44AC3" w:rsidRPr="00CA076C" w14:paraId="1A77E4CA" w14:textId="77777777" w:rsidTr="00E44AC3">
        <w:tc>
          <w:tcPr>
            <w:tcW w:w="2418" w:type="dxa"/>
          </w:tcPr>
          <w:p w14:paraId="39933B0F" w14:textId="77777777" w:rsidR="00E44AC3" w:rsidRPr="00CA076C" w:rsidRDefault="00E44AC3" w:rsidP="00A15C78">
            <w:pPr>
              <w:jc w:val="left"/>
            </w:pPr>
            <w:r w:rsidRPr="00CA076C">
              <w:t>Risikokriterien</w:t>
            </w:r>
          </w:p>
        </w:tc>
        <w:tc>
          <w:tcPr>
            <w:tcW w:w="6870" w:type="dxa"/>
          </w:tcPr>
          <w:p w14:paraId="604D8F1B" w14:textId="77777777" w:rsidR="00E44AC3" w:rsidRPr="00CA076C" w:rsidRDefault="00E44AC3" w:rsidP="00A15C78">
            <w:pPr>
              <w:jc w:val="left"/>
            </w:pPr>
            <w:r w:rsidRPr="00CA076C">
              <w:t>Bezugsrahmen für die Einschätzung der Bedeutung eines Risikos</w:t>
            </w:r>
            <w:r w:rsidRPr="00CA076C">
              <w:br/>
              <w:t>(Quelle: DIN ISO/IEC 27000)</w:t>
            </w:r>
          </w:p>
        </w:tc>
      </w:tr>
      <w:tr w:rsidR="00E44AC3" w:rsidRPr="00CA076C" w14:paraId="6AE2E7B0" w14:textId="77777777" w:rsidTr="00E44AC3">
        <w:tc>
          <w:tcPr>
            <w:tcW w:w="2418" w:type="dxa"/>
          </w:tcPr>
          <w:p w14:paraId="0490D508" w14:textId="77777777" w:rsidR="00E44AC3" w:rsidRPr="00CA076C" w:rsidRDefault="00E44AC3" w:rsidP="00A15C78">
            <w:pPr>
              <w:jc w:val="left"/>
            </w:pPr>
            <w:r w:rsidRPr="00CA076C">
              <w:t>Risikomanagement</w:t>
            </w:r>
          </w:p>
        </w:tc>
        <w:tc>
          <w:tcPr>
            <w:tcW w:w="6870" w:type="dxa"/>
          </w:tcPr>
          <w:p w14:paraId="4349377F" w14:textId="77777777" w:rsidR="00E44AC3" w:rsidRPr="00CA076C" w:rsidRDefault="00E44AC3" w:rsidP="00A15C78">
            <w:pPr>
              <w:jc w:val="left"/>
            </w:pPr>
            <w:r w:rsidRPr="00CA076C">
              <w:t>Koordinierte Tätigkeit zur Leitung und Kontrolle einer Institution/Organisation in Bezug auf Risiken</w:t>
            </w:r>
            <w:r w:rsidRPr="00CA076C">
              <w:br/>
              <w:t>(Quelle: DIN ISO/IEC 27000)</w:t>
            </w:r>
          </w:p>
        </w:tc>
      </w:tr>
      <w:tr w:rsidR="00E44AC3" w:rsidRPr="00CA076C" w14:paraId="5AF08959" w14:textId="77777777" w:rsidTr="00E44AC3">
        <w:tc>
          <w:tcPr>
            <w:tcW w:w="2418" w:type="dxa"/>
          </w:tcPr>
          <w:p w14:paraId="1DDF4200" w14:textId="77777777" w:rsidR="00E44AC3" w:rsidRPr="00CA076C" w:rsidRDefault="00E44AC3" w:rsidP="00A15C78">
            <w:pPr>
              <w:jc w:val="left"/>
            </w:pPr>
            <w:r w:rsidRPr="00CA076C">
              <w:t>Schwachstelle</w:t>
            </w:r>
          </w:p>
        </w:tc>
        <w:tc>
          <w:tcPr>
            <w:tcW w:w="6870" w:type="dxa"/>
          </w:tcPr>
          <w:p w14:paraId="18F3C59B" w14:textId="77777777" w:rsidR="00E44AC3" w:rsidRPr="00CA076C" w:rsidRDefault="00E44AC3" w:rsidP="00A15C78">
            <w:pPr>
              <w:jc w:val="left"/>
            </w:pPr>
            <w:r w:rsidRPr="00CA076C">
              <w:t>Schwäche eines Werts oder einer Maßnahme, die von einer Bedrohung ausgenutzt werden kann</w:t>
            </w:r>
            <w:r w:rsidRPr="00CA076C">
              <w:br/>
              <w:t>(Quelle: DIN ISO/IEC 27000)</w:t>
            </w:r>
          </w:p>
        </w:tc>
      </w:tr>
      <w:tr w:rsidR="00E44AC3" w:rsidRPr="00CA076C" w14:paraId="3C9FEA1E" w14:textId="77777777" w:rsidTr="00E44AC3">
        <w:tc>
          <w:tcPr>
            <w:tcW w:w="2418" w:type="dxa"/>
          </w:tcPr>
          <w:p w14:paraId="58D20475" w14:textId="77777777" w:rsidR="00E44AC3" w:rsidRPr="00CA076C" w:rsidRDefault="00E44AC3" w:rsidP="00A15C78">
            <w:pPr>
              <w:jc w:val="left"/>
            </w:pPr>
            <w:r w:rsidRPr="00CA076C">
              <w:t>Sicherheit</w:t>
            </w:r>
          </w:p>
        </w:tc>
        <w:tc>
          <w:tcPr>
            <w:tcW w:w="6870" w:type="dxa"/>
          </w:tcPr>
          <w:p w14:paraId="0C01D047" w14:textId="77777777" w:rsidR="00E44AC3" w:rsidRPr="00CA076C" w:rsidRDefault="00E44AC3" w:rsidP="00A15C78">
            <w:pPr>
              <w:jc w:val="left"/>
            </w:pPr>
            <w:r w:rsidRPr="00CA076C">
              <w:t>Kombination von Verfügbarkeit, Vertraulichkeit, Integrität und Zurechenbarkeit</w:t>
            </w:r>
            <w:r w:rsidRPr="00CA076C">
              <w:br/>
              <w:t>(Quelle: DIN EN ISO 22600-1)</w:t>
            </w:r>
          </w:p>
        </w:tc>
      </w:tr>
      <w:tr w:rsidR="00E44AC3" w:rsidRPr="00CA076C" w14:paraId="73ECD90D" w14:textId="77777777" w:rsidTr="00E44AC3">
        <w:tc>
          <w:tcPr>
            <w:tcW w:w="2418" w:type="dxa"/>
          </w:tcPr>
          <w:p w14:paraId="5DE54ED3" w14:textId="77777777" w:rsidR="00E44AC3" w:rsidRPr="00CA076C" w:rsidRDefault="00E44AC3" w:rsidP="00A15C78">
            <w:pPr>
              <w:jc w:val="left"/>
            </w:pPr>
            <w:r w:rsidRPr="00CA076C">
              <w:t>Verantwortlicher</w:t>
            </w:r>
          </w:p>
        </w:tc>
        <w:tc>
          <w:tcPr>
            <w:tcW w:w="6870" w:type="dxa"/>
          </w:tcPr>
          <w:p w14:paraId="410DCAE5" w14:textId="77777777" w:rsidR="00E44AC3" w:rsidRPr="00CA076C" w:rsidRDefault="00E44AC3" w:rsidP="00A15C78">
            <w:pPr>
              <w:jc w:val="left"/>
            </w:pPr>
            <w:r w:rsidRPr="00CA076C">
              <w:t>Art. 4 Ziff. 7 DS-GVO</w:t>
            </w:r>
          </w:p>
          <w:p w14:paraId="492D8FA7" w14:textId="77777777" w:rsidR="00E44AC3" w:rsidRPr="00CA076C" w:rsidRDefault="00E44AC3" w:rsidP="00A15C78">
            <w:pPr>
              <w:jc w:val="left"/>
            </w:pPr>
            <w:r w:rsidRPr="00CA076C">
              <w:t>„</w:t>
            </w:r>
            <w:r w:rsidRPr="00CA076C">
              <w:sym w:font="Symbol" w:char="F0A2"/>
            </w:r>
            <w:r w:rsidRPr="00CA076C">
              <w:t>Verantwortlicher</w:t>
            </w:r>
            <w:r w:rsidRPr="00CA076C">
              <w:sym w:font="Symbol" w:char="F0A2"/>
            </w:r>
            <w:r w:rsidRPr="00CA076C">
              <w:t xml:space="preserve"> die natürliche oder juristische Person, Behörde, Einrichtung oder andere Stelle, die allein oder gemeinsam mit anderen über die Zwecke und Mittel der Verarbeitung von personenbezogenen </w:t>
            </w:r>
            <w:r w:rsidRPr="00CA076C">
              <w:lastRenderedPageBreak/>
              <w:t>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tc>
      </w:tr>
      <w:tr w:rsidR="00E44AC3" w:rsidRPr="00CA076C" w14:paraId="59848B49" w14:textId="77777777" w:rsidTr="00E44AC3">
        <w:tc>
          <w:tcPr>
            <w:tcW w:w="2418" w:type="dxa"/>
          </w:tcPr>
          <w:p w14:paraId="604FAA54" w14:textId="77777777" w:rsidR="00E44AC3" w:rsidRPr="00CA076C" w:rsidRDefault="00E44AC3" w:rsidP="00A15C78">
            <w:pPr>
              <w:jc w:val="left"/>
            </w:pPr>
            <w:r w:rsidRPr="00CA076C">
              <w:lastRenderedPageBreak/>
              <w:t>Verarbeitung</w:t>
            </w:r>
          </w:p>
        </w:tc>
        <w:tc>
          <w:tcPr>
            <w:tcW w:w="6870" w:type="dxa"/>
          </w:tcPr>
          <w:p w14:paraId="6B4633DA" w14:textId="77777777" w:rsidR="00E44AC3" w:rsidRPr="00CA076C" w:rsidRDefault="00E44AC3" w:rsidP="00A15C78">
            <w:pPr>
              <w:jc w:val="left"/>
            </w:pPr>
            <w:r w:rsidRPr="00CA076C">
              <w:t>Art. 4 Ziff. 2 DS-GVO</w:t>
            </w:r>
          </w:p>
          <w:p w14:paraId="7F401C24" w14:textId="77777777" w:rsidR="00E44AC3" w:rsidRPr="00CA076C" w:rsidRDefault="00E44AC3" w:rsidP="00A15C78">
            <w:pPr>
              <w:jc w:val="left"/>
            </w:pPr>
            <w:r w:rsidRPr="00CA076C">
              <w:t>„</w:t>
            </w:r>
            <w:r w:rsidRPr="00CA076C">
              <w:sym w:font="Symbol" w:char="F0A2"/>
            </w:r>
            <w:r w:rsidRPr="00CA076C">
              <w:t>Verarbeitung</w:t>
            </w:r>
            <w:r w:rsidRPr="00CA076C">
              <w:sym w:font="Symbol" w:char="F0A2"/>
            </w:r>
            <w:r w:rsidRPr="00CA076C">
              <w:t xml:space="preserve">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tc>
      </w:tr>
      <w:tr w:rsidR="00E44AC3" w:rsidRPr="00CA076C" w14:paraId="0A0BE52A" w14:textId="77777777" w:rsidTr="00E44AC3">
        <w:tc>
          <w:tcPr>
            <w:tcW w:w="2418" w:type="dxa"/>
          </w:tcPr>
          <w:p w14:paraId="4CE05340" w14:textId="77777777" w:rsidR="00E44AC3" w:rsidRPr="00CA076C" w:rsidRDefault="00E44AC3" w:rsidP="00A15C78">
            <w:pPr>
              <w:jc w:val="left"/>
            </w:pPr>
            <w:r w:rsidRPr="00CA076C">
              <w:t>Verfahren</w:t>
            </w:r>
          </w:p>
        </w:tc>
        <w:tc>
          <w:tcPr>
            <w:tcW w:w="6870" w:type="dxa"/>
          </w:tcPr>
          <w:p w14:paraId="54E68F06" w14:textId="77777777" w:rsidR="00E44AC3" w:rsidRPr="00CA076C" w:rsidRDefault="00E44AC3" w:rsidP="00A15C78">
            <w:pPr>
              <w:jc w:val="left"/>
            </w:pPr>
            <w:r w:rsidRPr="00CA076C">
              <w:t>festgelegte Art und Weise, eine Tätigkeit oder einen Prozess auszuführen</w:t>
            </w:r>
          </w:p>
          <w:p w14:paraId="2C09ABAD" w14:textId="77777777" w:rsidR="00E44AC3" w:rsidRPr="00CA076C" w:rsidRDefault="00E44AC3" w:rsidP="00A15C78">
            <w:pPr>
              <w:jc w:val="left"/>
            </w:pPr>
            <w:r w:rsidRPr="00CA076C">
              <w:t>(Quelle: DIN ISO IEC 27000)</w:t>
            </w:r>
          </w:p>
        </w:tc>
      </w:tr>
      <w:tr w:rsidR="00E44AC3" w:rsidRPr="00CA076C" w14:paraId="7D0EBFCD" w14:textId="77777777" w:rsidTr="00E44AC3">
        <w:tc>
          <w:tcPr>
            <w:tcW w:w="2418" w:type="dxa"/>
          </w:tcPr>
          <w:p w14:paraId="05634385" w14:textId="77777777" w:rsidR="00E44AC3" w:rsidRPr="00CA076C" w:rsidRDefault="00E44AC3" w:rsidP="00A15C78">
            <w:pPr>
              <w:jc w:val="left"/>
            </w:pPr>
            <w:r w:rsidRPr="00CA076C">
              <w:t>Verfügbarkeit</w:t>
            </w:r>
          </w:p>
        </w:tc>
        <w:tc>
          <w:tcPr>
            <w:tcW w:w="6870" w:type="dxa"/>
          </w:tcPr>
          <w:p w14:paraId="4C21EED4" w14:textId="77777777" w:rsidR="00E44AC3" w:rsidRPr="00CA076C" w:rsidRDefault="00E44AC3" w:rsidP="00A15C78">
            <w:pPr>
              <w:jc w:val="left"/>
            </w:pPr>
            <w:r w:rsidRPr="00CA076C">
              <w:t>Eigenschaft, auf Anforderung einer autorisierten Entität zugänglich und nutzbar zu sein</w:t>
            </w:r>
          </w:p>
          <w:p w14:paraId="4CD4069E" w14:textId="77777777" w:rsidR="00E44AC3" w:rsidRPr="00CA076C" w:rsidRDefault="00E44AC3" w:rsidP="00A15C78">
            <w:pPr>
              <w:jc w:val="left"/>
            </w:pPr>
            <w:r w:rsidRPr="00CA076C">
              <w:t>(Quelle: DIN EN ISO 22600-1)</w:t>
            </w:r>
          </w:p>
        </w:tc>
      </w:tr>
      <w:tr w:rsidR="00E44AC3" w:rsidRPr="00CA076C" w14:paraId="53607A40" w14:textId="77777777" w:rsidTr="00E44AC3">
        <w:tc>
          <w:tcPr>
            <w:tcW w:w="2418" w:type="dxa"/>
          </w:tcPr>
          <w:p w14:paraId="39E10499" w14:textId="77777777" w:rsidR="00E44AC3" w:rsidRPr="00CA076C" w:rsidRDefault="00E44AC3" w:rsidP="00A15C78">
            <w:pPr>
              <w:jc w:val="left"/>
            </w:pPr>
            <w:r w:rsidRPr="00CA076C">
              <w:t>Vertrauen</w:t>
            </w:r>
          </w:p>
        </w:tc>
        <w:tc>
          <w:tcPr>
            <w:tcW w:w="6870" w:type="dxa"/>
          </w:tcPr>
          <w:p w14:paraId="087A356E" w14:textId="77777777" w:rsidR="00E44AC3" w:rsidRPr="00CA076C" w:rsidRDefault="00E44AC3" w:rsidP="00A15C78">
            <w:pPr>
              <w:jc w:val="left"/>
            </w:pPr>
            <w:r w:rsidRPr="00CA076C">
              <w:t>im Allgemeinen kann davon ausgegangen werden, dass eine Entität einer anderen Entität „vertraut“, wenn sie annehmen kann, dass sich die zweite Entität genauso, wie von der ersten Entität erwartet, verhalten wird</w:t>
            </w:r>
            <w:r w:rsidRPr="00CA076C">
              <w:br/>
              <w:t>(Quelle: DIN EN ISO 22600-2)</w:t>
            </w:r>
          </w:p>
        </w:tc>
      </w:tr>
      <w:tr w:rsidR="00E44AC3" w:rsidRPr="00CA076C" w14:paraId="299B5F7A" w14:textId="77777777" w:rsidTr="00E44AC3">
        <w:tc>
          <w:tcPr>
            <w:tcW w:w="2418" w:type="dxa"/>
          </w:tcPr>
          <w:p w14:paraId="373ED96B" w14:textId="77777777" w:rsidR="00E44AC3" w:rsidRPr="00CA076C" w:rsidRDefault="00E44AC3" w:rsidP="00A15C78">
            <w:pPr>
              <w:jc w:val="left"/>
            </w:pPr>
            <w:r w:rsidRPr="00CA076C">
              <w:t>Vertraulichkeit</w:t>
            </w:r>
          </w:p>
        </w:tc>
        <w:tc>
          <w:tcPr>
            <w:tcW w:w="6870" w:type="dxa"/>
          </w:tcPr>
          <w:p w14:paraId="0127B47E" w14:textId="77777777" w:rsidR="00E44AC3" w:rsidRPr="00CA076C" w:rsidRDefault="00E44AC3" w:rsidP="00A15C78">
            <w:pPr>
              <w:jc w:val="left"/>
            </w:pPr>
            <w:r w:rsidRPr="00CA076C">
              <w:t>Eigenschaft, die dazu führt, dass die betreffende(n) Information(en) keinen Personen, Entitäten oder Prozessen, die nicht über die entsprechende Autorisation verfügen, verfügbar gemacht oder diesen gegenüber offengelegt wird</w:t>
            </w:r>
          </w:p>
          <w:p w14:paraId="6B43F859" w14:textId="77777777" w:rsidR="00E44AC3" w:rsidRPr="00CA076C" w:rsidRDefault="00E44AC3" w:rsidP="00A15C78">
            <w:pPr>
              <w:jc w:val="left"/>
            </w:pPr>
            <w:r w:rsidRPr="00CA076C">
              <w:t>(Quelle: DIN EN ISO 22600-1)</w:t>
            </w:r>
          </w:p>
        </w:tc>
      </w:tr>
      <w:tr w:rsidR="00E44AC3" w:rsidRPr="00CA076C" w14:paraId="5AED26AE" w14:textId="77777777" w:rsidTr="00E44AC3">
        <w:tc>
          <w:tcPr>
            <w:tcW w:w="2418" w:type="dxa"/>
          </w:tcPr>
          <w:p w14:paraId="48AA94FA" w14:textId="77777777" w:rsidR="00E44AC3" w:rsidRPr="00CA076C" w:rsidRDefault="00E44AC3" w:rsidP="00A15C78">
            <w:pPr>
              <w:jc w:val="left"/>
            </w:pPr>
            <w:r w:rsidRPr="00CA076C">
              <w:t>Vorbeugungsmaßnahme</w:t>
            </w:r>
          </w:p>
        </w:tc>
        <w:tc>
          <w:tcPr>
            <w:tcW w:w="6870" w:type="dxa"/>
          </w:tcPr>
          <w:p w14:paraId="53220380" w14:textId="77777777" w:rsidR="00E44AC3" w:rsidRPr="00CA076C" w:rsidRDefault="00E44AC3" w:rsidP="00A15C78">
            <w:pPr>
              <w:jc w:val="left"/>
            </w:pPr>
            <w:r w:rsidRPr="00CA076C">
              <w:t>Maßnahme zur Beseitigung der Ursache eines möglichen Fehlers oder einer anderen möglichen unerwünschten Situation</w:t>
            </w:r>
            <w:r w:rsidRPr="00CA076C">
              <w:br/>
              <w:t>(Quelle: DIN ISO/IEC 27000)</w:t>
            </w:r>
          </w:p>
        </w:tc>
      </w:tr>
      <w:tr w:rsidR="00E44AC3" w:rsidRPr="00CA076C" w14:paraId="0B7957E4" w14:textId="77777777" w:rsidTr="00E44AC3">
        <w:tc>
          <w:tcPr>
            <w:tcW w:w="2418" w:type="dxa"/>
          </w:tcPr>
          <w:p w14:paraId="56F1D19A" w14:textId="77777777" w:rsidR="00E44AC3" w:rsidRPr="00CA076C" w:rsidRDefault="00E44AC3" w:rsidP="00A15C78">
            <w:pPr>
              <w:jc w:val="left"/>
            </w:pPr>
            <w:r w:rsidRPr="00CA076C">
              <w:t>Zertifizierung</w:t>
            </w:r>
          </w:p>
        </w:tc>
        <w:tc>
          <w:tcPr>
            <w:tcW w:w="6870" w:type="dxa"/>
          </w:tcPr>
          <w:p w14:paraId="1602EC78" w14:textId="77777777" w:rsidR="00E44AC3" w:rsidRPr="00CA076C" w:rsidRDefault="00E44AC3" w:rsidP="00A15C78">
            <w:pPr>
              <w:jc w:val="left"/>
            </w:pPr>
            <w:r w:rsidRPr="00CA076C">
              <w:t>Bestätigung durch eine dritte Stelle bezogen auf Produkte, Prozesse, Systeme oder Personen</w:t>
            </w:r>
          </w:p>
          <w:p w14:paraId="0936842D" w14:textId="77777777" w:rsidR="00E44AC3" w:rsidRPr="00CA076C" w:rsidRDefault="00E44AC3" w:rsidP="00A15C78">
            <w:pPr>
              <w:jc w:val="left"/>
            </w:pPr>
            <w:r w:rsidRPr="00CA076C">
              <w:t>(Quelle: DIN CEN ISO/TS 14441)</w:t>
            </w:r>
          </w:p>
        </w:tc>
      </w:tr>
    </w:tbl>
    <w:p w14:paraId="492D7961" w14:textId="77777777" w:rsidR="00612F3C" w:rsidRPr="00CA076C" w:rsidRDefault="00612F3C" w:rsidP="00017132"/>
    <w:p w14:paraId="709656E0" w14:textId="77777777" w:rsidR="004B7080" w:rsidRPr="00CA076C" w:rsidRDefault="004B7080">
      <w:pPr>
        <w:jc w:val="left"/>
        <w:rPr>
          <w:rFonts w:asciiTheme="majorHAnsi" w:eastAsiaTheme="majorEastAsia" w:hAnsiTheme="majorHAnsi" w:cstheme="majorBidi"/>
          <w:b/>
          <w:color w:val="365F91" w:themeColor="accent1" w:themeShade="BF"/>
          <w:sz w:val="32"/>
          <w:szCs w:val="32"/>
        </w:rPr>
      </w:pPr>
      <w:r w:rsidRPr="00CA076C">
        <w:br w:type="page"/>
      </w:r>
    </w:p>
    <w:p w14:paraId="528FCB02" w14:textId="77777777" w:rsidR="00612F3C" w:rsidRPr="00CA076C" w:rsidRDefault="00612F3C" w:rsidP="00612F3C">
      <w:pPr>
        <w:pStyle w:val="berschrift1"/>
      </w:pPr>
      <w:bookmarkStart w:id="120" w:name="_Toc503456527"/>
      <w:r w:rsidRPr="00CA076C">
        <w:lastRenderedPageBreak/>
        <w:t>Literatur</w:t>
      </w:r>
      <w:bookmarkEnd w:id="120"/>
    </w:p>
    <w:p w14:paraId="716BDA79" w14:textId="77777777" w:rsidR="00E44AC3" w:rsidRPr="00CA076C" w:rsidRDefault="00E44AC3" w:rsidP="00E44AC3">
      <w:pPr>
        <w:pStyle w:val="berschrift2"/>
      </w:pPr>
      <w:bookmarkStart w:id="121" w:name="_Toc503456528"/>
      <w:r w:rsidRPr="00CA076C">
        <w:t>Zeitschriftenartikel</w:t>
      </w:r>
      <w:bookmarkEnd w:id="121"/>
    </w:p>
    <w:p w14:paraId="51A9507D" w14:textId="77777777" w:rsidR="00E44AC3" w:rsidRPr="00CA076C" w:rsidRDefault="00E44AC3" w:rsidP="00E44AC3">
      <w:pPr>
        <w:pStyle w:val="Listenabsatz"/>
        <w:numPr>
          <w:ilvl w:val="0"/>
          <w:numId w:val="37"/>
        </w:numPr>
      </w:pPr>
      <w:r w:rsidRPr="00CA076C">
        <w:t>Bergt M. (2016) Verhaltensregeln als Mittel zur Beseitigung der Rechtsunsicherheit in der Datenschutz-Grundverordnung - Wie ein Unternehmen mit nur einer Maßnahme EU-weit Datenschutz-Compliance erreichen kann. CR: 670-678</w:t>
      </w:r>
    </w:p>
    <w:p w14:paraId="6781A10D" w14:textId="77777777" w:rsidR="00E44AC3" w:rsidRPr="00CA076C" w:rsidRDefault="00E44AC3" w:rsidP="00E44AC3">
      <w:pPr>
        <w:pStyle w:val="Listenabsatz"/>
        <w:numPr>
          <w:ilvl w:val="0"/>
          <w:numId w:val="37"/>
        </w:numPr>
      </w:pPr>
      <w:r w:rsidRPr="00CA076C">
        <w:t xml:space="preserve">Bock K, Meissner S. (2012) Datenschutz-Schutzziele im Recht - Zum normativen Gehalt der Datenschutz-Schutzziele. </w:t>
      </w:r>
      <w:proofErr w:type="spellStart"/>
      <w:r w:rsidRPr="00CA076C">
        <w:t>DuD</w:t>
      </w:r>
      <w:proofErr w:type="spellEnd"/>
      <w:r w:rsidRPr="00CA076C">
        <w:t>: 425-431</w:t>
      </w:r>
    </w:p>
    <w:p w14:paraId="3096FEBB" w14:textId="7C010221" w:rsidR="001E0507" w:rsidRDefault="001E0507" w:rsidP="001E0507">
      <w:pPr>
        <w:pStyle w:val="Listenabsatz"/>
        <w:numPr>
          <w:ilvl w:val="0"/>
          <w:numId w:val="37"/>
        </w:numPr>
      </w:pPr>
      <w:r w:rsidRPr="001E0507">
        <w:t>Eiermann H.</w:t>
      </w:r>
      <w:r>
        <w:t xml:space="preserve"> (2017) </w:t>
      </w:r>
      <w:r w:rsidRPr="001E0507">
        <w:t>Sicherheit der Verarbeitung nach der Europäischen Datenschutzgrundverordnung. Was ändert sich, was bleibt?</w:t>
      </w:r>
      <w:r>
        <w:t xml:space="preserve"> </w:t>
      </w:r>
      <w:r w:rsidRPr="001E0507">
        <w:t>BvD-News</w:t>
      </w:r>
      <w:r>
        <w:t>: 37-40</w:t>
      </w:r>
    </w:p>
    <w:p w14:paraId="730C6129" w14:textId="77777777" w:rsidR="00E44AC3" w:rsidRPr="00CA076C" w:rsidRDefault="00E44AC3" w:rsidP="00E44AC3">
      <w:pPr>
        <w:pStyle w:val="Listenabsatz"/>
        <w:numPr>
          <w:ilvl w:val="0"/>
          <w:numId w:val="37"/>
        </w:numPr>
      </w:pPr>
      <w:r w:rsidRPr="00CA076C">
        <w:t>Franck L. (2016) Datensicherheit als datenschutzrechtliche Anforderung. CR: 238-240</w:t>
      </w:r>
    </w:p>
    <w:p w14:paraId="3CF8623F" w14:textId="77777777" w:rsidR="00E44AC3" w:rsidRPr="00CA076C" w:rsidRDefault="00E44AC3" w:rsidP="00E44AC3">
      <w:pPr>
        <w:pStyle w:val="Listenabsatz"/>
        <w:numPr>
          <w:ilvl w:val="0"/>
          <w:numId w:val="37"/>
        </w:numPr>
      </w:pPr>
      <w:proofErr w:type="spellStart"/>
      <w:r w:rsidRPr="00CA076C">
        <w:t>Jandt</w:t>
      </w:r>
      <w:proofErr w:type="spellEnd"/>
      <w:r w:rsidRPr="00CA076C">
        <w:t xml:space="preserve"> S. (2017) Datenschutz durch Technik in der DS-GVO - Präventive und repressive Vorgaben zur Gewährleistung der Sicherheit der Verarbeitung. </w:t>
      </w:r>
      <w:proofErr w:type="spellStart"/>
      <w:r w:rsidRPr="00CA076C">
        <w:t>DuD</w:t>
      </w:r>
      <w:proofErr w:type="spellEnd"/>
      <w:r w:rsidRPr="00CA076C">
        <w:t>: 562-566</w:t>
      </w:r>
    </w:p>
    <w:p w14:paraId="1FDDEA93" w14:textId="77777777" w:rsidR="00E44AC3" w:rsidRPr="00CA076C" w:rsidRDefault="00E44AC3" w:rsidP="00E44AC3">
      <w:pPr>
        <w:pStyle w:val="Listenabsatz"/>
        <w:numPr>
          <w:ilvl w:val="0"/>
          <w:numId w:val="37"/>
        </w:numPr>
      </w:pPr>
      <w:r w:rsidRPr="00CA076C">
        <w:t xml:space="preserve">Karg M. (2015) Anonymität, Pseudonyme und Personenbezug </w:t>
      </w:r>
      <w:proofErr w:type="spellStart"/>
      <w:r w:rsidRPr="00CA076C">
        <w:t>revisited</w:t>
      </w:r>
      <w:proofErr w:type="spellEnd"/>
      <w:r w:rsidRPr="00CA076C">
        <w:t xml:space="preserve">? </w:t>
      </w:r>
      <w:proofErr w:type="spellStart"/>
      <w:r w:rsidRPr="00CA076C">
        <w:t>DuD</w:t>
      </w:r>
      <w:proofErr w:type="spellEnd"/>
      <w:r w:rsidRPr="00CA076C">
        <w:t>: 520-526</w:t>
      </w:r>
    </w:p>
    <w:p w14:paraId="1F7CBB28" w14:textId="77777777" w:rsidR="00E44AC3" w:rsidRPr="00CA076C" w:rsidRDefault="00E44AC3" w:rsidP="00E44AC3">
      <w:pPr>
        <w:pStyle w:val="Listenabsatz"/>
        <w:numPr>
          <w:ilvl w:val="0"/>
          <w:numId w:val="37"/>
        </w:numPr>
      </w:pPr>
      <w:r w:rsidRPr="00CA076C">
        <w:t xml:space="preserve">Kieselmann O, Kopal N, Wacker A. (2015) „Löschen“ im Internet - Ein neuer Ansatz für die technische Unterstützung des Rechts auf Löschen. </w:t>
      </w:r>
      <w:proofErr w:type="spellStart"/>
      <w:r w:rsidRPr="00CA076C">
        <w:t>DuD</w:t>
      </w:r>
      <w:proofErr w:type="spellEnd"/>
      <w:r w:rsidRPr="00CA076C">
        <w:t>: 31-36</w:t>
      </w:r>
    </w:p>
    <w:p w14:paraId="0F24B863" w14:textId="77777777" w:rsidR="00E44AC3" w:rsidRPr="00CA076C" w:rsidRDefault="00E44AC3" w:rsidP="00E44AC3">
      <w:pPr>
        <w:pStyle w:val="Listenabsatz"/>
        <w:numPr>
          <w:ilvl w:val="0"/>
          <w:numId w:val="37"/>
        </w:numPr>
      </w:pPr>
      <w:proofErr w:type="spellStart"/>
      <w:r w:rsidRPr="00CA076C">
        <w:t>Kodde</w:t>
      </w:r>
      <w:proofErr w:type="spellEnd"/>
      <w:r w:rsidRPr="00CA076C">
        <w:t xml:space="preserve"> C. (2013) Die „Pflicht zu Vergessen“ - „Recht auf Vergessenwerden“ und Löschung in BDSG und DS-GVO. ZD: 115-118</w:t>
      </w:r>
    </w:p>
    <w:p w14:paraId="0EC2730D" w14:textId="77777777" w:rsidR="00E44AC3" w:rsidRPr="00CA076C" w:rsidRDefault="00E44AC3" w:rsidP="00E44AC3">
      <w:pPr>
        <w:pStyle w:val="Listenabsatz"/>
        <w:numPr>
          <w:ilvl w:val="0"/>
          <w:numId w:val="37"/>
        </w:numPr>
      </w:pPr>
      <w:proofErr w:type="spellStart"/>
      <w:r w:rsidRPr="00CA076C">
        <w:t>Lepperhoff</w:t>
      </w:r>
      <w:proofErr w:type="spellEnd"/>
      <w:r w:rsidRPr="00CA076C">
        <w:t xml:space="preserve"> N. (2017) Abschied von Fingerprint, Iris-Scan &amp; Co? IT-Sicherheit (3/2017): 36-39</w:t>
      </w:r>
    </w:p>
    <w:p w14:paraId="54C47F55" w14:textId="77777777" w:rsidR="00E44AC3" w:rsidRPr="00CA076C" w:rsidRDefault="00E44AC3" w:rsidP="00E44AC3">
      <w:pPr>
        <w:pStyle w:val="Listenabsatz"/>
        <w:numPr>
          <w:ilvl w:val="0"/>
          <w:numId w:val="37"/>
        </w:numPr>
      </w:pPr>
      <w:proofErr w:type="spellStart"/>
      <w:r w:rsidRPr="00CA076C">
        <w:t>Lepperhoff</w:t>
      </w:r>
      <w:proofErr w:type="spellEnd"/>
      <w:r w:rsidRPr="00CA076C">
        <w:t xml:space="preserve"> N. (2017) Sicherheit bei Telemedien - Der übersehene Paragraph und die DS-GVO. IT-Sicherheit (4/2017): 54-55</w:t>
      </w:r>
    </w:p>
    <w:p w14:paraId="1155AFE8" w14:textId="77777777" w:rsidR="00E44AC3" w:rsidRPr="00CA076C" w:rsidRDefault="00E44AC3" w:rsidP="00E44AC3">
      <w:pPr>
        <w:pStyle w:val="Listenabsatz"/>
        <w:numPr>
          <w:ilvl w:val="0"/>
          <w:numId w:val="37"/>
        </w:numPr>
      </w:pPr>
      <w:proofErr w:type="spellStart"/>
      <w:r w:rsidRPr="00CA076C">
        <w:t>Lepperhoff</w:t>
      </w:r>
      <w:proofErr w:type="spellEnd"/>
      <w:r w:rsidRPr="00CA076C">
        <w:t xml:space="preserve"> N. (2017) Das IT-Sicherheitskonzept in der DS-GVO. BvD-News (2/2017): 15-18 (Online, zitiert am 2017-09-04; Verfügbar unter </w:t>
      </w:r>
      <w:hyperlink r:id="rId18" w:history="1">
        <w:r w:rsidRPr="00CA076C">
          <w:rPr>
            <w:rStyle w:val="Hyperlink"/>
          </w:rPr>
          <w:t>https://www.bvdnet.de/wp-content/uploads/2017/08/BvD-News_2_2017_web.pdf</w:t>
        </w:r>
      </w:hyperlink>
      <w:r w:rsidRPr="00CA076C">
        <w:t>)</w:t>
      </w:r>
    </w:p>
    <w:p w14:paraId="1F4A0A76" w14:textId="77777777" w:rsidR="00E44AC3" w:rsidRPr="00CA076C" w:rsidRDefault="00E44AC3" w:rsidP="00E44AC3">
      <w:pPr>
        <w:pStyle w:val="Listenabsatz"/>
        <w:numPr>
          <w:ilvl w:val="0"/>
          <w:numId w:val="37"/>
        </w:numPr>
      </w:pPr>
      <w:r w:rsidRPr="00CA076C">
        <w:t>Lotz B, Wendler J. (2016) Datensicherheit als datenschutzrechtliche Anforderung: Zur Frage der Abdingbarkeit des § 9 BDSG - Eine Erörterung für den privaten Rechtsverkehr und für Betreiber Kritischer Infrastrukturen. CR; 31-36</w:t>
      </w:r>
    </w:p>
    <w:p w14:paraId="768006AA" w14:textId="77777777" w:rsidR="00E44AC3" w:rsidRPr="00CA076C" w:rsidRDefault="00E44AC3" w:rsidP="00E44AC3">
      <w:pPr>
        <w:pStyle w:val="Listenabsatz"/>
        <w:numPr>
          <w:ilvl w:val="0"/>
          <w:numId w:val="37"/>
        </w:numPr>
      </w:pPr>
      <w:r w:rsidRPr="00CA076C">
        <w:t xml:space="preserve">Sachs A. (2017) Vorgaben zur IT-Sicherheit in der EU-DSGVO. IT-Sicherheit: 62-64Sachs A. (2017) Sicherheit der Verarbeitung - Einbettung und Anwendung von Security-Methoden in der DS-GVO. BvD-News. 1/2017 (Online, zitiert am 2017-09-04; Verfügbar unter </w:t>
      </w:r>
      <w:hyperlink r:id="rId19" w:history="1">
        <w:r w:rsidRPr="00CA076C">
          <w:rPr>
            <w:rStyle w:val="Hyperlink"/>
          </w:rPr>
          <w:t>https://www.bvdnet.de/fileadmin/BvD_eV/BvDNews/17_BvDNews17-1.pdf</w:t>
        </w:r>
      </w:hyperlink>
      <w:r w:rsidRPr="00CA076C">
        <w:t>)</w:t>
      </w:r>
    </w:p>
    <w:p w14:paraId="06173091" w14:textId="77777777" w:rsidR="007A5EAF" w:rsidRDefault="007A5EAF" w:rsidP="007A5EAF">
      <w:pPr>
        <w:pStyle w:val="Listenabsatz"/>
        <w:numPr>
          <w:ilvl w:val="0"/>
          <w:numId w:val="37"/>
        </w:numPr>
      </w:pPr>
      <w:r>
        <w:t xml:space="preserve">Sachs A. (2017) </w:t>
      </w:r>
      <w:r w:rsidRPr="007A5EAF">
        <w:t>Vorgaben zur IT-Sicherheit in der EU-DSGVO</w:t>
      </w:r>
      <w:r>
        <w:t xml:space="preserve">. </w:t>
      </w:r>
      <w:r w:rsidRPr="007A5EAF">
        <w:t>IT-Sicherheit</w:t>
      </w:r>
      <w:r>
        <w:t>: 62-64</w:t>
      </w:r>
    </w:p>
    <w:p w14:paraId="42AED396" w14:textId="70D56675" w:rsidR="007A5EAF" w:rsidRDefault="007A5EAF" w:rsidP="007A5EAF">
      <w:pPr>
        <w:pStyle w:val="Listenabsatz"/>
        <w:numPr>
          <w:ilvl w:val="0"/>
          <w:numId w:val="37"/>
        </w:numPr>
      </w:pPr>
      <w:r>
        <w:t xml:space="preserve">Schütze B. (2017) </w:t>
      </w:r>
      <w:r w:rsidRPr="007A5EAF">
        <w:t>Controlling der IT-Sic</w:t>
      </w:r>
      <w:r>
        <w:t>herheit unter Berücksichtigung v</w:t>
      </w:r>
      <w:r w:rsidRPr="007A5EAF">
        <w:t>on Art. 32 Datenschutz-Grundverordnung</w:t>
      </w:r>
      <w:r>
        <w:t>. DANA: 137-139</w:t>
      </w:r>
    </w:p>
    <w:p w14:paraId="288C91A2" w14:textId="77777777" w:rsidR="00E44AC3" w:rsidRPr="00CA076C" w:rsidRDefault="00E44AC3" w:rsidP="00E44AC3">
      <w:pPr>
        <w:pStyle w:val="Listenabsatz"/>
        <w:numPr>
          <w:ilvl w:val="0"/>
          <w:numId w:val="37"/>
        </w:numPr>
      </w:pPr>
      <w:proofErr w:type="spellStart"/>
      <w:r w:rsidRPr="00CA076C">
        <w:t>Schwartmann</w:t>
      </w:r>
      <w:proofErr w:type="spellEnd"/>
      <w:r w:rsidRPr="00CA076C">
        <w:t xml:space="preserve"> R, </w:t>
      </w:r>
      <w:proofErr w:type="spellStart"/>
      <w:r w:rsidRPr="00CA076C">
        <w:t>Weiss</w:t>
      </w:r>
      <w:proofErr w:type="spellEnd"/>
      <w:r w:rsidRPr="00CA076C">
        <w:t xml:space="preserve"> S. (2016) Ko-Regulierung vor einer neuen Blüte – Verhaltensregelungen und Zertifizierungsverfahren nach der Datenschutzgrundverordnung (Teil 1). RDV: 68-73</w:t>
      </w:r>
    </w:p>
    <w:p w14:paraId="33BBC0A7" w14:textId="77777777" w:rsidR="00E44AC3" w:rsidRPr="00CA076C" w:rsidRDefault="00E44AC3" w:rsidP="00E44AC3">
      <w:pPr>
        <w:pStyle w:val="Listenabsatz"/>
        <w:numPr>
          <w:ilvl w:val="0"/>
          <w:numId w:val="37"/>
        </w:numPr>
      </w:pPr>
      <w:proofErr w:type="spellStart"/>
      <w:r w:rsidRPr="00CA076C">
        <w:t>Schwartmann</w:t>
      </w:r>
      <w:proofErr w:type="spellEnd"/>
      <w:r w:rsidRPr="00CA076C">
        <w:t xml:space="preserve"> R, </w:t>
      </w:r>
      <w:proofErr w:type="spellStart"/>
      <w:r w:rsidRPr="00CA076C">
        <w:t>Weiss</w:t>
      </w:r>
      <w:proofErr w:type="spellEnd"/>
      <w:r w:rsidRPr="00CA076C">
        <w:t xml:space="preserve"> S. (2016) Ko-Regulierung vor einer neuen Blüte – Impulse für datenschutzspezifische Zertifizierungsverfahren und Verhaltensregeln. RDV: 240-245</w:t>
      </w:r>
    </w:p>
    <w:p w14:paraId="44DAA77A" w14:textId="77777777" w:rsidR="00E44AC3" w:rsidRPr="00CA076C" w:rsidRDefault="00E44AC3" w:rsidP="00E44AC3">
      <w:pPr>
        <w:pStyle w:val="Listenabsatz"/>
        <w:numPr>
          <w:ilvl w:val="0"/>
          <w:numId w:val="37"/>
        </w:numPr>
      </w:pPr>
      <w:r w:rsidRPr="00CA076C">
        <w:t>Spindler G. (2016) Selbstregulierung und Zertifizierungsverfahren nach der DS-GVO - Reichweite und Rechtsfolgen der genehmigten Verhaltensregeln. ZD: 407-414</w:t>
      </w:r>
    </w:p>
    <w:p w14:paraId="1357C0E0" w14:textId="77777777" w:rsidR="00E44AC3" w:rsidRPr="00CA076C" w:rsidRDefault="00E44AC3" w:rsidP="00E44AC3">
      <w:pPr>
        <w:pStyle w:val="Listenabsatz"/>
        <w:numPr>
          <w:ilvl w:val="0"/>
          <w:numId w:val="37"/>
        </w:numPr>
      </w:pPr>
      <w:r w:rsidRPr="00CA076C">
        <w:t>Sydow G, Kring M. (2014) Die Datenschutzgrundverordnung zwischen Technikneutralität und Technikbezug - Konkurrierende Leitbilder für den europäischen Rechtsrahmen. ZD: 271-276</w:t>
      </w:r>
    </w:p>
    <w:p w14:paraId="288F04C7" w14:textId="77777777" w:rsidR="00E44AC3" w:rsidRPr="00CA076C" w:rsidRDefault="00E44AC3" w:rsidP="00E44AC3">
      <w:pPr>
        <w:pStyle w:val="Listenabsatz"/>
        <w:numPr>
          <w:ilvl w:val="0"/>
          <w:numId w:val="37"/>
        </w:numPr>
      </w:pPr>
      <w:r w:rsidRPr="00CA076C">
        <w:t>Thoma F. (2013) Risiko im Datenschutz - Stellenwert eines systematischen Risikomanagements in BDSG und DS-GVO-E. ZD: 578-581</w:t>
      </w:r>
    </w:p>
    <w:p w14:paraId="11B71100" w14:textId="77777777" w:rsidR="00E44AC3" w:rsidRPr="00CA076C" w:rsidRDefault="00E44AC3" w:rsidP="00E44AC3">
      <w:pPr>
        <w:pStyle w:val="Listenabsatz"/>
        <w:numPr>
          <w:ilvl w:val="0"/>
          <w:numId w:val="37"/>
        </w:numPr>
      </w:pPr>
      <w:r w:rsidRPr="00CA076C">
        <w:lastRenderedPageBreak/>
        <w:t>Veil W. (2015) DS-GVO: Risikobasierter Ansatz statt rigides Verbotsprinzip - Eine erste Bestandsaufnahme. ZD: 347-353</w:t>
      </w:r>
    </w:p>
    <w:p w14:paraId="3713E426" w14:textId="77777777" w:rsidR="00E44AC3" w:rsidRPr="00CA076C" w:rsidRDefault="00E44AC3" w:rsidP="00E44AC3">
      <w:pPr>
        <w:pStyle w:val="Listenabsatz"/>
        <w:numPr>
          <w:ilvl w:val="0"/>
          <w:numId w:val="37"/>
        </w:numPr>
      </w:pPr>
      <w:r w:rsidRPr="00CA076C">
        <w:t>Weinmann S, Gerling R. (2017) IT-Sicherheit und Datenschutz - Praxisgerechte Vorbereitung auf die DS-GVO. IT-Sicherheit: 65-67</w:t>
      </w:r>
    </w:p>
    <w:p w14:paraId="112453A9" w14:textId="77777777" w:rsidR="00E44AC3" w:rsidRPr="00CA076C" w:rsidRDefault="00E44AC3" w:rsidP="00E44AC3">
      <w:pPr>
        <w:pStyle w:val="Listenabsatz"/>
        <w:numPr>
          <w:ilvl w:val="0"/>
          <w:numId w:val="37"/>
        </w:numPr>
      </w:pPr>
      <w:r w:rsidRPr="00CA076C">
        <w:t>Wolff H. (2017) Verhaltensregeln nach Art. 40 DS-GVO auf dem Prüfstand. ZD: 151-154</w:t>
      </w:r>
    </w:p>
    <w:p w14:paraId="39AA234E" w14:textId="77777777" w:rsidR="00E44AC3" w:rsidRPr="00CA076C" w:rsidRDefault="00E44AC3" w:rsidP="00E44AC3">
      <w:pPr>
        <w:pStyle w:val="berschrift2"/>
      </w:pPr>
      <w:bookmarkStart w:id="122" w:name="_Toc503456529"/>
      <w:r w:rsidRPr="00CA076C">
        <w:t>Internet</w:t>
      </w:r>
      <w:bookmarkEnd w:id="122"/>
    </w:p>
    <w:p w14:paraId="4F1947EB" w14:textId="77777777" w:rsidR="00E44AC3" w:rsidRPr="00CA076C" w:rsidRDefault="00E44AC3" w:rsidP="00E44AC3">
      <w:pPr>
        <w:pStyle w:val="Listenabsatz"/>
        <w:numPr>
          <w:ilvl w:val="0"/>
          <w:numId w:val="37"/>
        </w:numPr>
      </w:pPr>
      <w:proofErr w:type="spellStart"/>
      <w:r w:rsidRPr="00CA076C">
        <w:t>BayLDA</w:t>
      </w:r>
      <w:proofErr w:type="spellEnd"/>
      <w:r w:rsidRPr="00CA076C">
        <w:t xml:space="preserve"> (2016) Sicherheit der Verarbeitung - Art. 32 DS-GVO. Online, zitiert am 2017-09-04; Verfügbar unter </w:t>
      </w:r>
      <w:hyperlink r:id="rId20" w:history="1">
        <w:r w:rsidRPr="00CA076C">
          <w:rPr>
            <w:rStyle w:val="Hyperlink"/>
          </w:rPr>
          <w:t>https://www.lda.bayern.de/media/baylda_ds-gvo_1_security.pdf</w:t>
        </w:r>
      </w:hyperlink>
    </w:p>
    <w:p w14:paraId="17E8E162" w14:textId="77777777" w:rsidR="00E44AC3" w:rsidRPr="00CA076C" w:rsidRDefault="00E44AC3" w:rsidP="00E44AC3">
      <w:pPr>
        <w:pStyle w:val="Listenabsatz"/>
        <w:numPr>
          <w:ilvl w:val="0"/>
          <w:numId w:val="37"/>
        </w:numPr>
      </w:pPr>
      <w:proofErr w:type="spellStart"/>
      <w:r w:rsidRPr="00CA076C">
        <w:t>Diercks</w:t>
      </w:r>
      <w:proofErr w:type="spellEnd"/>
      <w:r w:rsidRPr="00CA076C">
        <w:t xml:space="preserve"> Nina (2017) Die Datenschutzgrundverordnung macht IT-Richtlinien Feuer unter dem Hintern! Online, zitiert am 2017-09-04; Verfügbar unter </w:t>
      </w:r>
      <w:hyperlink r:id="rId21" w:history="1">
        <w:r w:rsidRPr="00CA076C">
          <w:rPr>
            <w:rStyle w:val="Hyperlink"/>
          </w:rPr>
          <w:t>http://www.socialmediarecht.de/2017/01/24/die-datenschutzgrundverordnung-macht-it-richtlinien-feuer-unter-dem-hintern-teil-7-oder-was-die-dsgvo-mit-it-richtlinien-arbeitsrecht-und-compliance-zu-tun-hat-und-warum-das-jetzt-fuer-unterneh/</w:t>
        </w:r>
      </w:hyperlink>
    </w:p>
    <w:p w14:paraId="5C1B2C5D" w14:textId="77777777" w:rsidR="00E44AC3" w:rsidRPr="00CA076C" w:rsidRDefault="00E44AC3" w:rsidP="00E44AC3">
      <w:pPr>
        <w:pStyle w:val="Listenabsatz"/>
        <w:numPr>
          <w:ilvl w:val="0"/>
          <w:numId w:val="37"/>
        </w:numPr>
      </w:pPr>
      <w:r w:rsidRPr="00CA076C">
        <w:t xml:space="preserve">Eiermann H. (2017) Sicherheit der Verarbeitung nach der Europäischen Datenschutzgrundverordnung. Online, zitiert am 2017-09-04; Verfügbar unter </w:t>
      </w:r>
      <w:hyperlink r:id="rId22" w:history="1">
        <w:r w:rsidRPr="00CA076C">
          <w:rPr>
            <w:rStyle w:val="Hyperlink"/>
          </w:rPr>
          <w:t>https://www.datenschutz.rlp.de/fileadmin/lfdi/Dokumente/Praesentation_Sicherheit_der_Verarbeitung_nach_der_EU_DSGVO.pdf</w:t>
        </w:r>
      </w:hyperlink>
    </w:p>
    <w:p w14:paraId="1981DBBB" w14:textId="77777777" w:rsidR="00E44AC3" w:rsidRPr="00CA076C" w:rsidRDefault="00E44AC3" w:rsidP="00E44AC3">
      <w:pPr>
        <w:pStyle w:val="Listenabsatz"/>
        <w:numPr>
          <w:ilvl w:val="0"/>
          <w:numId w:val="37"/>
        </w:numPr>
      </w:pPr>
      <w:r w:rsidRPr="00CA076C">
        <w:t xml:space="preserve">Landesbeauftragter für den Datenschutz und die Informationsfreiheit Rheinland-Pfalz (2017) Sicherheit der Verarbeitung nach der EU Datenschutz-Grundverordnung. Online, zitiert am 2017-09-04; Verfügbar unter </w:t>
      </w:r>
      <w:hyperlink r:id="rId23" w:history="1">
        <w:r w:rsidRPr="00CA076C">
          <w:rPr>
            <w:rStyle w:val="Hyperlink"/>
          </w:rPr>
          <w:t>https://www.datenschutz.rlp.de/de/themenfelder-themen/sicherheit-der-verarbeitung-nach-dsgvo/</w:t>
        </w:r>
      </w:hyperlink>
    </w:p>
    <w:p w14:paraId="25D756A6" w14:textId="77777777" w:rsidR="00E44AC3" w:rsidRPr="00CA076C" w:rsidRDefault="00EC6A40" w:rsidP="006465C2">
      <w:pPr>
        <w:pStyle w:val="berschrift2"/>
      </w:pPr>
      <w:bookmarkStart w:id="123" w:name="_Toc503456530"/>
      <w:r w:rsidRPr="00CA076C">
        <w:t xml:space="preserve">Auswahl von Zertifizierungsmöglichkeiten </w:t>
      </w:r>
      <w:r w:rsidR="00E44AC3" w:rsidRPr="00CA076C">
        <w:t>bzgl. IT-Sicherheit</w:t>
      </w:r>
      <w:bookmarkEnd w:id="123"/>
    </w:p>
    <w:p w14:paraId="5123DD3E" w14:textId="77777777" w:rsidR="00EC6A40" w:rsidRPr="00D07789" w:rsidRDefault="00EC6A40" w:rsidP="00EC6A40">
      <w:r w:rsidRPr="00D07789">
        <w:t xml:space="preserve">Bei den nachfolgend aufgelisteten Möglichkeiten zur Zertifizierung, dass entsprechend Art. 42 DS-GVO nur entsprechend Art. 42 Abs. 5 DS-GVO akkreditierte Verfahren entsprechend Art. 32 Abs. 3 DS-GVO als Faktor zu berücksichtigen sind. Insbesondere ist zu berücksichtigen, dass diese Standards i. d. R. keine </w:t>
      </w:r>
      <w:r w:rsidRPr="00D07789">
        <w:rPr>
          <w:i/>
        </w:rPr>
        <w:t>datenschutzspezifischen Zertifizierungsverfahren</w:t>
      </w:r>
      <w:r w:rsidRPr="00D07789">
        <w:t xml:space="preserve"> darstellen, d. h. keine Standards im Sinne des Art. 42 DS-GVO darstellen.</w:t>
      </w:r>
    </w:p>
    <w:p w14:paraId="67EB838A" w14:textId="77777777" w:rsidR="00EC6A40" w:rsidRPr="00D07789" w:rsidRDefault="00EC6A40" w:rsidP="00EC6A40">
      <w:r w:rsidRPr="00D07789">
        <w:t xml:space="preserve">Natürlich können national und international anerkannte Standards trotzdem bzgl. des Nachweises der Anforderungen von Art. 32 Abs. 1 DS-GVO hilfreich sein, insbesondere </w:t>
      </w:r>
      <w:r w:rsidR="003455A0" w:rsidRPr="00D07789">
        <w:t>adressieren</w:t>
      </w:r>
      <w:r w:rsidRPr="00D07789">
        <w:t xml:space="preserve"> diese Standards </w:t>
      </w:r>
      <w:r w:rsidR="003455A0" w:rsidRPr="00D07789">
        <w:t>viele der von Art. 32 Abs. 1 lit. b-d DS-GVO genannten Anforderungen</w:t>
      </w:r>
      <w:r w:rsidRPr="00D07789">
        <w:t>.</w:t>
      </w:r>
    </w:p>
    <w:p w14:paraId="5122342D" w14:textId="77777777" w:rsidR="00E44AC3" w:rsidRPr="007472EE" w:rsidRDefault="00E44AC3" w:rsidP="00E44AC3">
      <w:pPr>
        <w:pStyle w:val="Listenabsatz"/>
        <w:numPr>
          <w:ilvl w:val="0"/>
          <w:numId w:val="39"/>
        </w:numPr>
        <w:jc w:val="left"/>
      </w:pPr>
      <w:proofErr w:type="spellStart"/>
      <w:r w:rsidRPr="007472EE">
        <w:t>Cobit</w:t>
      </w:r>
      <w:proofErr w:type="spellEnd"/>
    </w:p>
    <w:p w14:paraId="28388388" w14:textId="77777777" w:rsidR="00E44AC3" w:rsidRPr="007472EE" w:rsidRDefault="00E44AC3" w:rsidP="00E44AC3">
      <w:pPr>
        <w:pStyle w:val="Listenabsatz"/>
        <w:numPr>
          <w:ilvl w:val="0"/>
          <w:numId w:val="40"/>
        </w:numPr>
        <w:ind w:left="993"/>
        <w:jc w:val="left"/>
      </w:pPr>
      <w:r w:rsidRPr="007472EE">
        <w:t>ISACA International</w:t>
      </w:r>
      <w:r w:rsidRPr="007472EE">
        <w:br/>
      </w:r>
      <w:hyperlink r:id="rId24" w:history="1">
        <w:r w:rsidR="00C55D2B" w:rsidRPr="007472EE">
          <w:rPr>
            <w:rStyle w:val="Hyperlink"/>
          </w:rPr>
          <w:t>https://www.isaca.org/COBIT/Pages/default.aspx</w:t>
        </w:r>
      </w:hyperlink>
    </w:p>
    <w:p w14:paraId="1B1AC270" w14:textId="77777777" w:rsidR="00E44AC3" w:rsidRPr="007472EE" w:rsidRDefault="00E44AC3" w:rsidP="00E44AC3">
      <w:pPr>
        <w:pStyle w:val="Listenabsatz"/>
        <w:numPr>
          <w:ilvl w:val="0"/>
          <w:numId w:val="40"/>
        </w:numPr>
        <w:ind w:left="993"/>
        <w:jc w:val="left"/>
      </w:pPr>
      <w:r w:rsidRPr="007472EE">
        <w:t>ISACA German Chapter</w:t>
      </w:r>
      <w:r w:rsidRPr="007472EE">
        <w:br/>
      </w:r>
      <w:hyperlink r:id="rId25" w:history="1">
        <w:r w:rsidR="00C55D2B" w:rsidRPr="007472EE">
          <w:rPr>
            <w:rStyle w:val="Hyperlink"/>
          </w:rPr>
          <w:t>http://www.isaca.de/</w:t>
        </w:r>
      </w:hyperlink>
    </w:p>
    <w:p w14:paraId="6CA207D8" w14:textId="77777777" w:rsidR="00C55D2B" w:rsidRPr="007472EE" w:rsidRDefault="00E44AC3" w:rsidP="00E44AC3">
      <w:pPr>
        <w:pStyle w:val="Listenabsatz"/>
        <w:numPr>
          <w:ilvl w:val="0"/>
          <w:numId w:val="40"/>
        </w:numPr>
        <w:ind w:left="993"/>
        <w:jc w:val="left"/>
      </w:pPr>
      <w:r w:rsidRPr="007472EE">
        <w:t>COBIT-Campus</w:t>
      </w:r>
      <w:r w:rsidRPr="007472EE">
        <w:br/>
      </w:r>
      <w:hyperlink r:id="rId26" w:history="1">
        <w:r w:rsidR="00C55D2B" w:rsidRPr="007472EE">
          <w:rPr>
            <w:rStyle w:val="Hyperlink"/>
          </w:rPr>
          <w:t>http://www.isaca.org/Education/on-demand-learning/Pages/default.aspx</w:t>
        </w:r>
      </w:hyperlink>
      <w:r w:rsidRPr="007472EE">
        <w:t xml:space="preserve"> bzw. </w:t>
      </w:r>
      <w:hyperlink r:id="rId27" w:history="1">
        <w:r w:rsidR="00C55D2B" w:rsidRPr="007472EE">
          <w:rPr>
            <w:rStyle w:val="Hyperlink"/>
          </w:rPr>
          <w:t>https://www.isaca.org/ecommerce/Pages/vCampusLogin.aspx?returnurl=/ecommerce/Pages/ProcessLogin.aspx?vt=2</w:t>
        </w:r>
      </w:hyperlink>
    </w:p>
    <w:p w14:paraId="1F13DC69" w14:textId="77777777" w:rsidR="00E44AC3" w:rsidRPr="007472EE" w:rsidRDefault="00E44AC3" w:rsidP="00E44AC3">
      <w:pPr>
        <w:pStyle w:val="Listenabsatz"/>
        <w:numPr>
          <w:ilvl w:val="0"/>
          <w:numId w:val="39"/>
        </w:numPr>
        <w:jc w:val="left"/>
      </w:pPr>
      <w:r w:rsidRPr="007472EE">
        <w:t>IDW PS 330 Abschlussprüfung bei Einsatz von Informationstechnologie</w:t>
      </w:r>
    </w:p>
    <w:p w14:paraId="57FB7432" w14:textId="77777777" w:rsidR="00E44AC3" w:rsidRPr="007472EE" w:rsidRDefault="00E44AC3" w:rsidP="00E44AC3">
      <w:pPr>
        <w:pStyle w:val="Listenabsatz"/>
        <w:numPr>
          <w:ilvl w:val="0"/>
          <w:numId w:val="40"/>
        </w:numPr>
        <w:ind w:left="993"/>
        <w:jc w:val="left"/>
      </w:pPr>
      <w:r w:rsidRPr="007472EE">
        <w:t>Institut der Wirtschaftsprüfer</w:t>
      </w:r>
      <w:r w:rsidRPr="007472EE">
        <w:br/>
      </w:r>
      <w:hyperlink r:id="rId28" w:history="1">
        <w:r w:rsidR="00C55D2B" w:rsidRPr="007472EE">
          <w:rPr>
            <w:rStyle w:val="Hyperlink"/>
          </w:rPr>
          <w:t>https://shop.idw-verlag.de/product.idw?product=20068</w:t>
        </w:r>
      </w:hyperlink>
    </w:p>
    <w:p w14:paraId="64A58A03" w14:textId="77777777" w:rsidR="00E44AC3" w:rsidRPr="007472EE" w:rsidRDefault="00E44AC3" w:rsidP="00E44AC3">
      <w:pPr>
        <w:pStyle w:val="Listenabsatz"/>
        <w:numPr>
          <w:ilvl w:val="0"/>
          <w:numId w:val="40"/>
        </w:numPr>
        <w:ind w:left="993"/>
        <w:jc w:val="left"/>
      </w:pPr>
      <w:r w:rsidRPr="007472EE">
        <w:lastRenderedPageBreak/>
        <w:t>IDW Prüfungsnavigator Grundversion</w:t>
      </w:r>
      <w:r w:rsidRPr="007472EE">
        <w:br/>
      </w:r>
      <w:hyperlink r:id="rId29" w:history="1">
        <w:r w:rsidR="00C55D2B" w:rsidRPr="007472EE">
          <w:rPr>
            <w:rStyle w:val="Hyperlink"/>
          </w:rPr>
          <w:t>https://www.idw.de/idw/im-fokus/idw-pruefungsnavigator/idw-pruefungsnavigator-grundversion---zip-datei/28246</w:t>
        </w:r>
      </w:hyperlink>
    </w:p>
    <w:p w14:paraId="3DAC8BDA" w14:textId="77777777" w:rsidR="00C55D2B" w:rsidRPr="007472EE" w:rsidRDefault="00E44AC3" w:rsidP="00E44AC3">
      <w:pPr>
        <w:pStyle w:val="Listenabsatz"/>
        <w:numPr>
          <w:ilvl w:val="0"/>
          <w:numId w:val="40"/>
        </w:numPr>
        <w:ind w:left="993"/>
        <w:jc w:val="left"/>
      </w:pPr>
      <w:r w:rsidRPr="007472EE">
        <w:t>IT-Auditor IDW - Richtlinie</w:t>
      </w:r>
      <w:r w:rsidRPr="007472EE">
        <w:br/>
      </w:r>
      <w:hyperlink r:id="rId30" w:history="1">
        <w:r w:rsidR="00C55D2B" w:rsidRPr="007472EE">
          <w:rPr>
            <w:rStyle w:val="Hyperlink"/>
          </w:rPr>
          <w:t>https://www.idw.de/blob/87038/eac3b57db3b9a8c8a8bb1417fa1ba1bc/down-it-au-richtlinie-data.pdf</w:t>
        </w:r>
      </w:hyperlink>
    </w:p>
    <w:p w14:paraId="1F7E0037" w14:textId="77777777" w:rsidR="00EC6A40" w:rsidRPr="007472EE" w:rsidRDefault="00EC6A40" w:rsidP="00EC6A40">
      <w:pPr>
        <w:pStyle w:val="Listenabsatz"/>
        <w:numPr>
          <w:ilvl w:val="0"/>
          <w:numId w:val="39"/>
        </w:numPr>
        <w:jc w:val="left"/>
      </w:pPr>
      <w:r w:rsidRPr="007472EE">
        <w:t>DIN ISO IEC 27001 „IT-Sicherheitsverfahren – Informationssicherheits-Managementsysteme – Anforderungen“</w:t>
      </w:r>
    </w:p>
    <w:p w14:paraId="3FDB058A" w14:textId="77777777" w:rsidR="00E44AC3" w:rsidRPr="007472EE" w:rsidRDefault="00E44AC3" w:rsidP="00E44AC3">
      <w:pPr>
        <w:pStyle w:val="Listenabsatz"/>
        <w:numPr>
          <w:ilvl w:val="0"/>
          <w:numId w:val="39"/>
        </w:numPr>
        <w:jc w:val="left"/>
      </w:pPr>
      <w:r w:rsidRPr="007472EE">
        <w:t>IT Infrastructure Library (ITIL)</w:t>
      </w:r>
    </w:p>
    <w:p w14:paraId="50704484" w14:textId="77777777" w:rsidR="00C55D2B" w:rsidRPr="007472EE" w:rsidRDefault="00E44AC3" w:rsidP="00E44AC3">
      <w:pPr>
        <w:pStyle w:val="Listenabsatz"/>
        <w:numPr>
          <w:ilvl w:val="0"/>
          <w:numId w:val="40"/>
        </w:numPr>
        <w:ind w:left="993"/>
        <w:jc w:val="left"/>
      </w:pPr>
      <w:proofErr w:type="spellStart"/>
      <w:r w:rsidRPr="007472EE">
        <w:t>Axelos</w:t>
      </w:r>
      <w:proofErr w:type="spellEnd"/>
      <w:r w:rsidRPr="007472EE">
        <w:t>: Best Practices</w:t>
      </w:r>
      <w:r w:rsidRPr="007472EE">
        <w:br/>
      </w:r>
      <w:hyperlink r:id="rId31" w:history="1">
        <w:r w:rsidR="00C55D2B" w:rsidRPr="007472EE">
          <w:rPr>
            <w:rStyle w:val="Hyperlink"/>
          </w:rPr>
          <w:t>https://www.axelos.com/best-practice-solutions/itil</w:t>
        </w:r>
      </w:hyperlink>
    </w:p>
    <w:p w14:paraId="7E015D6E" w14:textId="77777777" w:rsidR="00EC6A40" w:rsidRPr="007472EE" w:rsidRDefault="00EC6A40" w:rsidP="00E44AC3">
      <w:pPr>
        <w:pStyle w:val="Listenabsatz"/>
        <w:numPr>
          <w:ilvl w:val="0"/>
          <w:numId w:val="40"/>
        </w:numPr>
        <w:ind w:left="993"/>
        <w:jc w:val="left"/>
        <w:rPr>
          <w:rStyle w:val="Hyperlink"/>
          <w:color w:val="auto"/>
          <w:u w:val="none"/>
        </w:rPr>
      </w:pPr>
      <w:r w:rsidRPr="007472EE">
        <w:t>Bundesamt für Sicherheit in der Informationstechnik (BSI): IT-Grundschutz-Kataloge.</w:t>
      </w:r>
      <w:r w:rsidRPr="007472EE">
        <w:br/>
      </w:r>
      <w:hyperlink r:id="rId32" w:history="1">
        <w:r w:rsidRPr="007472EE">
          <w:rPr>
            <w:rStyle w:val="Hyperlink"/>
          </w:rPr>
          <w:t>https://www.bsi.bund.de/DE/Themen/ITGrundschutz/ITGrundschutzKataloge/itgrundschutzkataloge_node.html</w:t>
        </w:r>
      </w:hyperlink>
    </w:p>
    <w:p w14:paraId="156A513B" w14:textId="77777777" w:rsidR="00E44AC3" w:rsidRPr="007472EE" w:rsidRDefault="00E44AC3" w:rsidP="00E44AC3">
      <w:pPr>
        <w:pStyle w:val="Listenabsatz"/>
        <w:numPr>
          <w:ilvl w:val="0"/>
          <w:numId w:val="40"/>
        </w:numPr>
        <w:ind w:left="993"/>
        <w:jc w:val="left"/>
      </w:pPr>
      <w:r w:rsidRPr="007472EE">
        <w:t>ITIL Wiki</w:t>
      </w:r>
      <w:r w:rsidRPr="007472EE">
        <w:br/>
      </w:r>
      <w:hyperlink r:id="rId33" w:history="1">
        <w:r w:rsidR="00C55D2B" w:rsidRPr="007472EE">
          <w:rPr>
            <w:rStyle w:val="Hyperlink"/>
          </w:rPr>
          <w:t>http://wiki.de.it-processmaps.com/index.php/Hauptseite</w:t>
        </w:r>
      </w:hyperlink>
    </w:p>
    <w:p w14:paraId="2ABAF91C" w14:textId="77777777" w:rsidR="00C55D2B" w:rsidRPr="007472EE" w:rsidRDefault="00E44AC3" w:rsidP="00E44AC3">
      <w:pPr>
        <w:pStyle w:val="Listenabsatz"/>
        <w:numPr>
          <w:ilvl w:val="0"/>
          <w:numId w:val="40"/>
        </w:numPr>
        <w:ind w:left="993"/>
        <w:jc w:val="left"/>
      </w:pPr>
      <w:r w:rsidRPr="007472EE">
        <w:t>Studien des BSI bzgl. ITIL</w:t>
      </w:r>
      <w:r w:rsidRPr="007472EE">
        <w:br/>
      </w:r>
      <w:hyperlink r:id="rId34" w:history="1">
        <w:r w:rsidR="00C55D2B" w:rsidRPr="007472EE">
          <w:rPr>
            <w:rStyle w:val="Hyperlink"/>
          </w:rPr>
          <w:t>https://www.bsi.bund.de/DE/Publikationen/Studien/ITIL/index_htm.html</w:t>
        </w:r>
      </w:hyperlink>
    </w:p>
    <w:p w14:paraId="61F3753F" w14:textId="77777777" w:rsidR="00C55D2B" w:rsidRPr="007472EE" w:rsidRDefault="00E44AC3" w:rsidP="00E44AC3">
      <w:pPr>
        <w:pStyle w:val="Listenabsatz"/>
        <w:numPr>
          <w:ilvl w:val="0"/>
          <w:numId w:val="40"/>
        </w:numPr>
        <w:ind w:left="993"/>
        <w:jc w:val="left"/>
      </w:pPr>
      <w:r w:rsidRPr="007472EE">
        <w:t>ITIL Blog</w:t>
      </w:r>
      <w:r w:rsidRPr="007472EE">
        <w:br/>
      </w:r>
      <w:hyperlink r:id="rId35" w:history="1">
        <w:r w:rsidR="00C55D2B" w:rsidRPr="007472EE">
          <w:rPr>
            <w:rStyle w:val="Hyperlink"/>
          </w:rPr>
          <w:t>https://www.itil.de/</w:t>
        </w:r>
      </w:hyperlink>
    </w:p>
    <w:sectPr w:rsidR="00C55D2B" w:rsidRPr="007472EE" w:rsidSect="00D2731D">
      <w:headerReference w:type="default" r:id="rId36"/>
      <w:footerReference w:type="default" r:id="rId37"/>
      <w:pgSz w:w="11906" w:h="16838"/>
      <w:pgMar w:top="1417" w:right="1417" w:bottom="1134" w:left="1417"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4FC2CE" w15:done="0"/>
  <w15:commentEx w15:paraId="7F34B315" w15:done="0"/>
  <w15:commentEx w15:paraId="11E842C3" w15:done="0"/>
  <w15:commentEx w15:paraId="1E7FAF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4DC54" w14:textId="77777777" w:rsidR="004805AE" w:rsidRDefault="004805AE" w:rsidP="003838B6">
      <w:pPr>
        <w:spacing w:after="0" w:line="240" w:lineRule="auto"/>
      </w:pPr>
      <w:r>
        <w:separator/>
      </w:r>
    </w:p>
  </w:endnote>
  <w:endnote w:type="continuationSeparator" w:id="0">
    <w:p w14:paraId="165558DC" w14:textId="77777777" w:rsidR="004805AE" w:rsidRDefault="004805AE" w:rsidP="0038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ele-GroteskNor">
    <w:altName w:val="Times New Roman"/>
    <w:panose1 w:val="00000000000000000000"/>
    <w:charset w:val="00"/>
    <w:family w:val="auto"/>
    <w:pitch w:val="variable"/>
    <w:sig w:usb0="800000AF" w:usb1="0000204A" w:usb2="00000000" w:usb3="00000000" w:csb0="0000001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D9E60" w14:textId="77777777" w:rsidR="00B71BCA" w:rsidRDefault="00B71BC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9938E" w14:textId="77777777" w:rsidR="00B71BCA" w:rsidRPr="00D2731D" w:rsidRDefault="00B71BC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BF2F2" w14:textId="77777777" w:rsidR="00B71BCA" w:rsidRDefault="00B71BC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2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71BCA" w:rsidRPr="00D2731D" w14:paraId="7B7E21A1" w14:textId="77777777" w:rsidTr="00D2731D">
      <w:tc>
        <w:tcPr>
          <w:tcW w:w="9212" w:type="dxa"/>
        </w:tcPr>
        <w:p w14:paraId="1F2F7A93" w14:textId="3DD71566" w:rsidR="00B71BCA" w:rsidRPr="00D2731D" w:rsidRDefault="00B71BCA" w:rsidP="002E1519">
          <w:pPr>
            <w:pStyle w:val="Fuzeile"/>
            <w:jc w:val="center"/>
            <w:rPr>
              <w:sz w:val="18"/>
              <w:szCs w:val="18"/>
            </w:rPr>
          </w:pPr>
          <w:r w:rsidRPr="00D2731D">
            <w:rPr>
              <w:sz w:val="18"/>
              <w:szCs w:val="18"/>
            </w:rPr>
            <w:t xml:space="preserve">Seite </w:t>
          </w:r>
          <w:r w:rsidRPr="00D2731D">
            <w:rPr>
              <w:b/>
              <w:sz w:val="18"/>
              <w:szCs w:val="18"/>
            </w:rPr>
            <w:fldChar w:fldCharType="begin"/>
          </w:r>
          <w:r w:rsidRPr="00D2731D">
            <w:rPr>
              <w:b/>
              <w:sz w:val="18"/>
              <w:szCs w:val="18"/>
            </w:rPr>
            <w:instrText>PAGE  \* Arabic  \* MERGEFORMAT</w:instrText>
          </w:r>
          <w:r w:rsidRPr="00D2731D">
            <w:rPr>
              <w:b/>
              <w:sz w:val="18"/>
              <w:szCs w:val="18"/>
            </w:rPr>
            <w:fldChar w:fldCharType="separate"/>
          </w:r>
          <w:r w:rsidR="00A25317">
            <w:rPr>
              <w:b/>
              <w:noProof/>
              <w:sz w:val="18"/>
              <w:szCs w:val="18"/>
            </w:rPr>
            <w:t>35</w:t>
          </w:r>
          <w:r w:rsidRPr="00D2731D">
            <w:rPr>
              <w:b/>
              <w:sz w:val="18"/>
              <w:szCs w:val="18"/>
            </w:rPr>
            <w:fldChar w:fldCharType="end"/>
          </w:r>
          <w:r w:rsidRPr="00D2731D">
            <w:rPr>
              <w:sz w:val="18"/>
              <w:szCs w:val="18"/>
            </w:rPr>
            <w:t xml:space="preserve"> von </w:t>
          </w:r>
          <w:r w:rsidRPr="00D2731D">
            <w:rPr>
              <w:sz w:val="18"/>
              <w:szCs w:val="18"/>
            </w:rPr>
            <w:fldChar w:fldCharType="begin"/>
          </w:r>
          <w:r w:rsidRPr="00D2731D">
            <w:rPr>
              <w:sz w:val="18"/>
              <w:szCs w:val="18"/>
            </w:rPr>
            <w:instrText xml:space="preserve"> =</w:instrText>
          </w:r>
          <w:r w:rsidRPr="00D2731D">
            <w:rPr>
              <w:b/>
              <w:sz w:val="18"/>
              <w:szCs w:val="18"/>
            </w:rPr>
            <w:fldChar w:fldCharType="begin"/>
          </w:r>
          <w:r w:rsidRPr="00D2731D">
            <w:rPr>
              <w:b/>
              <w:sz w:val="18"/>
              <w:szCs w:val="18"/>
            </w:rPr>
            <w:instrText>NUMPAGES  \* Arabic  \* MERGEFORMAT</w:instrText>
          </w:r>
          <w:r w:rsidRPr="00D2731D">
            <w:rPr>
              <w:b/>
              <w:sz w:val="18"/>
              <w:szCs w:val="18"/>
            </w:rPr>
            <w:fldChar w:fldCharType="separate"/>
          </w:r>
          <w:r w:rsidR="00A25317">
            <w:rPr>
              <w:b/>
              <w:noProof/>
              <w:sz w:val="18"/>
              <w:szCs w:val="18"/>
            </w:rPr>
            <w:instrText>37</w:instrText>
          </w:r>
          <w:r w:rsidRPr="00D2731D">
            <w:rPr>
              <w:b/>
              <w:sz w:val="18"/>
              <w:szCs w:val="18"/>
            </w:rPr>
            <w:fldChar w:fldCharType="end"/>
          </w:r>
          <w:r w:rsidRPr="00D2731D">
            <w:rPr>
              <w:sz w:val="18"/>
              <w:szCs w:val="18"/>
            </w:rPr>
            <w:instrText>-2</w:instrText>
          </w:r>
          <w:r w:rsidRPr="00D2731D">
            <w:rPr>
              <w:sz w:val="18"/>
              <w:szCs w:val="18"/>
            </w:rPr>
            <w:fldChar w:fldCharType="separate"/>
          </w:r>
          <w:r w:rsidR="00A25317">
            <w:rPr>
              <w:noProof/>
              <w:sz w:val="18"/>
              <w:szCs w:val="18"/>
            </w:rPr>
            <w:t>35</w:t>
          </w:r>
          <w:r w:rsidRPr="00D2731D">
            <w:rPr>
              <w:sz w:val="18"/>
              <w:szCs w:val="18"/>
            </w:rPr>
            <w:fldChar w:fldCharType="end"/>
          </w:r>
        </w:p>
      </w:tc>
    </w:tr>
  </w:tbl>
  <w:p w14:paraId="30DD2197" w14:textId="77777777" w:rsidR="00B71BCA" w:rsidRPr="00D2731D" w:rsidRDefault="00B71BCA">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FEFD5" w14:textId="77777777" w:rsidR="004805AE" w:rsidRDefault="004805AE" w:rsidP="003838B6">
      <w:pPr>
        <w:spacing w:after="0" w:line="240" w:lineRule="auto"/>
      </w:pPr>
      <w:r>
        <w:separator/>
      </w:r>
    </w:p>
  </w:footnote>
  <w:footnote w:type="continuationSeparator" w:id="0">
    <w:p w14:paraId="565D51F8" w14:textId="77777777" w:rsidR="004805AE" w:rsidRDefault="004805AE" w:rsidP="003838B6">
      <w:pPr>
        <w:spacing w:after="0" w:line="240" w:lineRule="auto"/>
      </w:pPr>
      <w:r>
        <w:continuationSeparator/>
      </w:r>
    </w:p>
  </w:footnote>
  <w:footnote w:id="1">
    <w:p w14:paraId="685ACC7D" w14:textId="77777777" w:rsidR="00B71BCA" w:rsidRDefault="00B71BCA" w:rsidP="00C55D2B">
      <w:pPr>
        <w:pStyle w:val="Funotentext"/>
      </w:pPr>
      <w:r>
        <w:rPr>
          <w:rStyle w:val="Funotenzeichen"/>
        </w:rPr>
        <w:footnoteRef/>
      </w:r>
      <w:r>
        <w:t xml:space="preserve"> Schreibauer M, </w:t>
      </w:r>
      <w:proofErr w:type="spellStart"/>
      <w:r>
        <w:t>Spittka</w:t>
      </w:r>
      <w:proofErr w:type="spellEnd"/>
      <w:r>
        <w:t xml:space="preserve"> J. Art. 32 Rn. 19 in </w:t>
      </w:r>
      <w:proofErr w:type="spellStart"/>
      <w:r>
        <w:t>Wybitul</w:t>
      </w:r>
      <w:proofErr w:type="spellEnd"/>
      <w:r>
        <w:t xml:space="preserve"> (Hrsg.) EU-Datenschutz-Grundverordnung.</w:t>
      </w:r>
      <w:r w:rsidRPr="00672722">
        <w:t xml:space="preserve"> </w:t>
      </w:r>
      <w:r>
        <w:t>Fachmedien Recht und Wirtschaft. ISBN 978-3-8005-1623-0</w:t>
      </w:r>
    </w:p>
    <w:p w14:paraId="7E63D2AA" w14:textId="77777777" w:rsidR="00B71BCA" w:rsidRDefault="00B71BCA" w:rsidP="00C55D2B">
      <w:pPr>
        <w:pStyle w:val="Funotentext"/>
      </w:pPr>
      <w:r>
        <w:t xml:space="preserve">Piltz C. Art. 44 Rn. 36 in </w:t>
      </w:r>
      <w:proofErr w:type="spellStart"/>
      <w:r>
        <w:t>Gola</w:t>
      </w:r>
      <w:proofErr w:type="spellEnd"/>
      <w:r>
        <w:t xml:space="preserve"> (Hrsg.) DSGVO: Datenschutz-Grundverordnung V= (EU) 2016/679 Kommentar. C. H. Beck Verlag 2017. ISBN 978-3-406-69543-8</w:t>
      </w:r>
    </w:p>
  </w:footnote>
  <w:footnote w:id="2">
    <w:p w14:paraId="5695BC3E" w14:textId="77777777" w:rsidR="00B71BCA" w:rsidRDefault="00B71BCA" w:rsidP="00C55D2B">
      <w:pPr>
        <w:pStyle w:val="Funotentext"/>
      </w:pPr>
      <w:r>
        <w:rPr>
          <w:rStyle w:val="Funotenzeichen"/>
        </w:rPr>
        <w:footnoteRef/>
      </w:r>
      <w:r>
        <w:t xml:space="preserve"> Martini M. Art. 32 Rn. 63 in Plath (Hrsg.) BDSG/DSGVO: Kommentar zum BDSG und zur DSGVO sowie den Datenschutzbestimmungen des TMG und TKG. </w:t>
      </w:r>
      <w:proofErr w:type="spellStart"/>
      <w:r>
        <w:t>ottoschmidt</w:t>
      </w:r>
      <w:proofErr w:type="spellEnd"/>
      <w:r>
        <w:t xml:space="preserve"> Verlag 2016. ISBN 978-3-504-56074-4</w:t>
      </w:r>
    </w:p>
  </w:footnote>
  <w:footnote w:id="3">
    <w:p w14:paraId="4963735C" w14:textId="77777777" w:rsidR="00B71BCA" w:rsidRDefault="00B71BCA" w:rsidP="00C55D2B">
      <w:pPr>
        <w:pStyle w:val="Funotentext"/>
      </w:pPr>
      <w:r>
        <w:rPr>
          <w:rStyle w:val="Funotenzeichen"/>
        </w:rPr>
        <w:footnoteRef/>
      </w:r>
      <w:r>
        <w:t xml:space="preserve"> Piltz C. Art. 44 Rn. 46 in </w:t>
      </w:r>
      <w:proofErr w:type="spellStart"/>
      <w:r>
        <w:t>Gola</w:t>
      </w:r>
      <w:proofErr w:type="spellEnd"/>
      <w:r>
        <w:t xml:space="preserve"> (Hrsg.) DSGVO: Datenschutz-Grundverordnung V= (EU) 2016/679 Kommentar. C. H. Beck Verlag 2017. ISBN 978-3-406-69543-8</w:t>
      </w:r>
    </w:p>
  </w:footnote>
  <w:footnote w:id="4">
    <w:p w14:paraId="074D6C4A" w14:textId="77777777" w:rsidR="00B71BCA" w:rsidRDefault="00B71BCA">
      <w:pPr>
        <w:pStyle w:val="Funotentext"/>
      </w:pPr>
      <w:r>
        <w:rPr>
          <w:rStyle w:val="Funotenzeichen"/>
        </w:rPr>
        <w:footnoteRef/>
      </w:r>
      <w:r>
        <w:t xml:space="preserve"> Piltz C. Art. 32 Rn. 9 in </w:t>
      </w:r>
      <w:proofErr w:type="spellStart"/>
      <w:r>
        <w:t>Gola</w:t>
      </w:r>
      <w:proofErr w:type="spellEnd"/>
      <w:r>
        <w:t xml:space="preserve"> (Hrsg.) DSGVO: Datenschutz-Grundverordnung V= (EU) 2016/679 Kommentar. C. H. Beck Verlag 2017. ISBN 978-3-406-69543-8</w:t>
      </w:r>
    </w:p>
  </w:footnote>
  <w:footnote w:id="5">
    <w:p w14:paraId="403FFA85" w14:textId="77777777" w:rsidR="00B71BCA" w:rsidRDefault="00B71BCA">
      <w:pPr>
        <w:pStyle w:val="Funotentext"/>
      </w:pPr>
      <w:r>
        <w:rPr>
          <w:rStyle w:val="Funotenzeichen"/>
        </w:rPr>
        <w:footnoteRef/>
      </w:r>
      <w:r>
        <w:t xml:space="preserve"> Schreibauer M, </w:t>
      </w:r>
      <w:proofErr w:type="spellStart"/>
      <w:r>
        <w:t>Spittka</w:t>
      </w:r>
      <w:proofErr w:type="spellEnd"/>
      <w:r>
        <w:t xml:space="preserve"> J. Art. 32 Rn. 16 in </w:t>
      </w:r>
      <w:proofErr w:type="spellStart"/>
      <w:r>
        <w:t>Wybitul</w:t>
      </w:r>
      <w:proofErr w:type="spellEnd"/>
      <w:r>
        <w:t xml:space="preserve"> (Hrsg.) EU-Datenschutz-Grundverordnung.</w:t>
      </w:r>
      <w:r w:rsidRPr="00672722">
        <w:t xml:space="preserve"> </w:t>
      </w:r>
      <w:r>
        <w:t>Fachmedien Recht und Wirtschaft. ISBN 978-3-8005-1623-0</w:t>
      </w:r>
    </w:p>
  </w:footnote>
  <w:footnote w:id="6">
    <w:p w14:paraId="717A9D86" w14:textId="77777777" w:rsidR="00B71BCA" w:rsidRDefault="00B71BCA" w:rsidP="0091362F">
      <w:pPr>
        <w:pStyle w:val="Funotentext"/>
      </w:pPr>
      <w:r>
        <w:rPr>
          <w:rStyle w:val="Funotenzeichen"/>
        </w:rPr>
        <w:footnoteRef/>
      </w:r>
      <w:r>
        <w:t xml:space="preserve"> Gesetzentwurf der Bundesregierung Entwurf eines Gesetzes zur Erhöhung der Sicherheit informationstechnischer Systeme (IT-Sicherheitsgesetz). S. 14, 15. Online, zitiert am 2017-08-31; Verfügbar unter </w:t>
      </w:r>
      <w:hyperlink r:id="rId1" w:history="1">
        <w:r>
          <w:rPr>
            <w:rStyle w:val="Hyperlink"/>
          </w:rPr>
          <w:t>https://dip21.bundestag.de/</w:t>
        </w:r>
      </w:hyperlink>
    </w:p>
  </w:footnote>
  <w:footnote w:id="7">
    <w:p w14:paraId="07FA1C63" w14:textId="77777777" w:rsidR="00B71BCA" w:rsidRDefault="00B71BCA" w:rsidP="0091362F">
      <w:pPr>
        <w:pStyle w:val="Funotentext"/>
      </w:pPr>
      <w:r>
        <w:rPr>
          <w:rStyle w:val="Funotenzeichen"/>
        </w:rPr>
        <w:footnoteRef/>
      </w:r>
      <w:r>
        <w:t xml:space="preserve"> </w:t>
      </w:r>
      <w:r w:rsidRPr="003C4656">
        <w:t>Richtlinie 2010/75/EU des Europäischen Parlaments und des Rates vom 24. November 2010 über Industrieemissionen (integrierte Vermeidung und Verminderung der Umweltverschmutzung)</w:t>
      </w:r>
      <w:r>
        <w:t xml:space="preserve">. Online, zitiert am 2017-09-04; Verfügbar unter </w:t>
      </w:r>
      <w:r w:rsidRPr="003C4656">
        <w:t>http://eur-lex.europa.eu/legal-content/DE/ALL/?uri=CELEX:32010L0075</w:t>
      </w:r>
    </w:p>
  </w:footnote>
  <w:footnote w:id="8">
    <w:p w14:paraId="211FBB70" w14:textId="77777777" w:rsidR="00B71BCA" w:rsidRDefault="00B71BCA" w:rsidP="0091362F">
      <w:pPr>
        <w:pStyle w:val="Funotentext"/>
      </w:pPr>
      <w:r>
        <w:rPr>
          <w:rStyle w:val="Funotenzeichen"/>
        </w:rPr>
        <w:footnoteRef/>
      </w:r>
      <w:r>
        <w:t xml:space="preserve"> Wikipedia „Standard“. Online, zitiert am 2017-09-04; Verfügbar unter https://de.wikipedia.org/wiki/Standard</w:t>
      </w:r>
    </w:p>
  </w:footnote>
  <w:footnote w:id="9">
    <w:p w14:paraId="59667760" w14:textId="77777777" w:rsidR="00B71BCA" w:rsidRPr="007472EE" w:rsidRDefault="00B71BCA">
      <w:pPr>
        <w:pStyle w:val="Funotentext"/>
      </w:pPr>
      <w:r>
        <w:rPr>
          <w:rStyle w:val="Funotenzeichen"/>
        </w:rPr>
        <w:footnoteRef/>
      </w:r>
      <w:r>
        <w:t xml:space="preserve"> Adrian </w:t>
      </w:r>
      <w:proofErr w:type="spellStart"/>
      <w:r>
        <w:t>Mizzi</w:t>
      </w:r>
      <w:proofErr w:type="spellEnd"/>
      <w:r>
        <w:t xml:space="preserve"> entwickelte im Rahmen einer </w:t>
      </w:r>
      <w:r w:rsidRPr="003070D7">
        <w:t>MBA Dissertation</w:t>
      </w:r>
      <w:r>
        <w:t xml:space="preserve"> die Methode des „</w:t>
      </w:r>
      <w:r w:rsidRPr="003070D7">
        <w:t xml:space="preserve">Return On Information </w:t>
      </w:r>
      <w:r w:rsidRPr="00D07789">
        <w:t xml:space="preserve">Security Investment“, welche eine Empfehlung für die maximal sinnvollen Ausgaben für IT-Sicherheit geben soll. Dazu nutzt das Modell Annahmen, welche Investitionen ein Angreifer tätigen würde. Letztlich beruht auch diese Methoden auf Abschätzungen, welche auf Grund mangelnder validierter Werte die Wirklichkeit nicht </w:t>
      </w:r>
      <w:r w:rsidRPr="007472EE">
        <w:t>abbilden kann. Informationen zu dieser Methode sind zu finden unter</w:t>
      </w:r>
    </w:p>
    <w:p w14:paraId="4AFE86D9" w14:textId="77777777" w:rsidR="00B71BCA" w:rsidRPr="007472EE" w:rsidRDefault="00B71BCA" w:rsidP="003070D7">
      <w:pPr>
        <w:pStyle w:val="Funotentext"/>
        <w:numPr>
          <w:ilvl w:val="0"/>
          <w:numId w:val="44"/>
        </w:numPr>
      </w:pPr>
      <w:proofErr w:type="spellStart"/>
      <w:r w:rsidRPr="007472EE">
        <w:t>Mizzi</w:t>
      </w:r>
      <w:proofErr w:type="spellEnd"/>
      <w:r w:rsidRPr="007472EE">
        <w:t xml:space="preserve"> A (2005) Return on Information Security Investment. Online, zitiert am 2017-09-06; Verfügbar unter </w:t>
      </w:r>
      <w:hyperlink r:id="rId2" w:history="1">
        <w:r w:rsidRPr="007472EE">
          <w:rPr>
            <w:rStyle w:val="Hyperlink"/>
          </w:rPr>
          <w:t>http://www.adrianmizzi.com/ROISI-Paper.pdf</w:t>
        </w:r>
      </w:hyperlink>
    </w:p>
    <w:p w14:paraId="21881F08" w14:textId="77777777" w:rsidR="00B71BCA" w:rsidRPr="00D07789" w:rsidRDefault="00B71BCA" w:rsidP="003070D7">
      <w:pPr>
        <w:pStyle w:val="Funotentext"/>
        <w:numPr>
          <w:ilvl w:val="0"/>
          <w:numId w:val="44"/>
        </w:numPr>
      </w:pPr>
      <w:r w:rsidRPr="007472EE">
        <w:t xml:space="preserve">Adrian </w:t>
      </w:r>
      <w:proofErr w:type="spellStart"/>
      <w:r w:rsidRPr="007472EE">
        <w:t>Mizzi</w:t>
      </w:r>
      <w:proofErr w:type="spellEnd"/>
      <w:r w:rsidRPr="007472EE">
        <w:t>. Return On Information Security Investment. Verlag: lulu.com (2005) ISBN 978-1409209164</w:t>
      </w:r>
    </w:p>
  </w:footnote>
  <w:footnote w:id="10">
    <w:p w14:paraId="7E1B3478" w14:textId="77777777" w:rsidR="00B71BCA" w:rsidRDefault="00B71BCA">
      <w:pPr>
        <w:pStyle w:val="Funotentext"/>
      </w:pPr>
      <w:r w:rsidRPr="00D07789">
        <w:rPr>
          <w:rStyle w:val="Funotenzeichen"/>
        </w:rPr>
        <w:footnoteRef/>
      </w:r>
      <w:r w:rsidRPr="00D07789">
        <w:t xml:space="preserve"> </w:t>
      </w:r>
      <w:proofErr w:type="spellStart"/>
      <w:r w:rsidRPr="00D07789">
        <w:t>Jandt</w:t>
      </w:r>
      <w:proofErr w:type="spellEnd"/>
      <w:r w:rsidRPr="00D07789">
        <w:t xml:space="preserve"> S. Art 32 Rn. 12 in </w:t>
      </w:r>
      <w:proofErr w:type="spellStart"/>
      <w:r w:rsidRPr="00D07789">
        <w:t>Kühling</w:t>
      </w:r>
      <w:proofErr w:type="spellEnd"/>
      <w:r w:rsidRPr="00D07789">
        <w:t>/Buchner (Hrsg.) DS-GVO Datenschutz-Grundverordnung Kommentar.</w:t>
      </w:r>
      <w:r>
        <w:t xml:space="preserve"> C.H.Beck Verlag 2017. ISBN 978-3-406-702129</w:t>
      </w:r>
    </w:p>
  </w:footnote>
  <w:footnote w:id="11">
    <w:p w14:paraId="74B8D321" w14:textId="77777777" w:rsidR="00B71BCA" w:rsidRPr="007472EE" w:rsidRDefault="00B71BCA" w:rsidP="0073395C">
      <w:pPr>
        <w:pStyle w:val="Funotentext"/>
      </w:pPr>
      <w:r>
        <w:rPr>
          <w:rStyle w:val="Funotenzeichen"/>
        </w:rPr>
        <w:footnoteRef/>
      </w:r>
      <w:r>
        <w:t xml:space="preserve"> Martini M. Art. 24 Rn. 33 in Plath (Hrsg.) BDSG/DSGVO: Kommentar zum BDSG und zur DSGVO sowie den </w:t>
      </w:r>
      <w:r w:rsidRPr="00D07789">
        <w:t xml:space="preserve">Datenschutzbestimmungen des TMG und TKG. </w:t>
      </w:r>
      <w:proofErr w:type="spellStart"/>
      <w:r w:rsidRPr="00D07789">
        <w:t>ottoschmidt</w:t>
      </w:r>
      <w:proofErr w:type="spellEnd"/>
      <w:r w:rsidRPr="00D07789">
        <w:t xml:space="preserve"> Verlag 2016. </w:t>
      </w:r>
      <w:r w:rsidRPr="007472EE">
        <w:t>ISBN 978-3-504-56074-4</w:t>
      </w:r>
    </w:p>
  </w:footnote>
  <w:footnote w:id="12">
    <w:p w14:paraId="71889CC9" w14:textId="77777777" w:rsidR="00B71BCA" w:rsidRPr="007472EE" w:rsidRDefault="00B71BCA" w:rsidP="0073395C">
      <w:pPr>
        <w:pStyle w:val="Funotentext"/>
      </w:pPr>
      <w:r w:rsidRPr="007472EE">
        <w:rPr>
          <w:rStyle w:val="Funotenzeichen"/>
        </w:rPr>
        <w:footnoteRef/>
      </w:r>
      <w:r w:rsidRPr="007472EE">
        <w:t xml:space="preserve"> European </w:t>
      </w:r>
      <w:proofErr w:type="spellStart"/>
      <w:r w:rsidRPr="007472EE">
        <w:t>Parliament</w:t>
      </w:r>
      <w:proofErr w:type="spellEnd"/>
      <w:r w:rsidRPr="007472EE">
        <w:t xml:space="preserve"> legislative </w:t>
      </w:r>
      <w:proofErr w:type="spellStart"/>
      <w:r w:rsidRPr="007472EE">
        <w:t>resolution</w:t>
      </w:r>
      <w:proofErr w:type="spellEnd"/>
      <w:r w:rsidRPr="007472EE">
        <w:t xml:space="preserve"> </w:t>
      </w:r>
      <w:proofErr w:type="spellStart"/>
      <w:r w:rsidRPr="007472EE">
        <w:t>of</w:t>
      </w:r>
      <w:proofErr w:type="spellEnd"/>
      <w:r w:rsidRPr="007472EE">
        <w:t xml:space="preserve"> 12 March 2014 on </w:t>
      </w:r>
      <w:proofErr w:type="spellStart"/>
      <w:r w:rsidRPr="007472EE">
        <w:t>the</w:t>
      </w:r>
      <w:proofErr w:type="spellEnd"/>
      <w:r w:rsidRPr="007472EE">
        <w:t xml:space="preserve"> </w:t>
      </w:r>
      <w:proofErr w:type="spellStart"/>
      <w:r w:rsidRPr="007472EE">
        <w:t>proposal</w:t>
      </w:r>
      <w:proofErr w:type="spellEnd"/>
      <w:r w:rsidRPr="007472EE">
        <w:t xml:space="preserve"> </w:t>
      </w:r>
      <w:proofErr w:type="spellStart"/>
      <w:r w:rsidRPr="007472EE">
        <w:t>for</w:t>
      </w:r>
      <w:proofErr w:type="spellEnd"/>
      <w:r w:rsidRPr="007472EE">
        <w:t xml:space="preserve"> a </w:t>
      </w:r>
      <w:proofErr w:type="spellStart"/>
      <w:r w:rsidRPr="007472EE">
        <w:t>regulation</w:t>
      </w:r>
      <w:proofErr w:type="spellEnd"/>
      <w:r w:rsidRPr="007472EE">
        <w:t xml:space="preserve"> </w:t>
      </w:r>
      <w:proofErr w:type="spellStart"/>
      <w:r w:rsidRPr="007472EE">
        <w:t>of</w:t>
      </w:r>
      <w:proofErr w:type="spellEnd"/>
      <w:r w:rsidRPr="007472EE">
        <w:t xml:space="preserve"> </w:t>
      </w:r>
      <w:proofErr w:type="spellStart"/>
      <w:r w:rsidRPr="007472EE">
        <w:t>the</w:t>
      </w:r>
      <w:proofErr w:type="spellEnd"/>
      <w:r w:rsidRPr="007472EE">
        <w:t xml:space="preserve"> European </w:t>
      </w:r>
      <w:proofErr w:type="spellStart"/>
      <w:r w:rsidRPr="007472EE">
        <w:t>Parliament</w:t>
      </w:r>
      <w:proofErr w:type="spellEnd"/>
      <w:r w:rsidRPr="007472EE">
        <w:t xml:space="preserve"> </w:t>
      </w:r>
      <w:proofErr w:type="spellStart"/>
      <w:r w:rsidRPr="007472EE">
        <w:t>and</w:t>
      </w:r>
      <w:proofErr w:type="spellEnd"/>
      <w:r w:rsidRPr="007472EE">
        <w:t xml:space="preserve"> </w:t>
      </w:r>
      <w:proofErr w:type="spellStart"/>
      <w:r w:rsidRPr="007472EE">
        <w:t>of</w:t>
      </w:r>
      <w:proofErr w:type="spellEnd"/>
      <w:r w:rsidRPr="007472EE">
        <w:t xml:space="preserve"> </w:t>
      </w:r>
      <w:proofErr w:type="spellStart"/>
      <w:r w:rsidRPr="007472EE">
        <w:t>the</w:t>
      </w:r>
      <w:proofErr w:type="spellEnd"/>
      <w:r w:rsidRPr="007472EE">
        <w:t xml:space="preserve"> Council on </w:t>
      </w:r>
      <w:proofErr w:type="spellStart"/>
      <w:r w:rsidRPr="007472EE">
        <w:t>the</w:t>
      </w:r>
      <w:proofErr w:type="spellEnd"/>
      <w:r w:rsidRPr="007472EE">
        <w:t xml:space="preserve"> </w:t>
      </w:r>
      <w:proofErr w:type="spellStart"/>
      <w:r w:rsidRPr="007472EE">
        <w:t>protection</w:t>
      </w:r>
      <w:proofErr w:type="spellEnd"/>
      <w:r w:rsidRPr="007472EE">
        <w:t xml:space="preserve"> </w:t>
      </w:r>
      <w:proofErr w:type="spellStart"/>
      <w:r w:rsidRPr="007472EE">
        <w:t>of</w:t>
      </w:r>
      <w:proofErr w:type="spellEnd"/>
      <w:r w:rsidRPr="007472EE">
        <w:t xml:space="preserve"> </w:t>
      </w:r>
      <w:proofErr w:type="spellStart"/>
      <w:r w:rsidRPr="007472EE">
        <w:t>individuals</w:t>
      </w:r>
      <w:proofErr w:type="spellEnd"/>
      <w:r w:rsidRPr="007472EE">
        <w:t xml:space="preserve"> </w:t>
      </w:r>
      <w:proofErr w:type="spellStart"/>
      <w:r w:rsidRPr="007472EE">
        <w:t>with</w:t>
      </w:r>
      <w:proofErr w:type="spellEnd"/>
      <w:r w:rsidRPr="007472EE">
        <w:t xml:space="preserve"> </w:t>
      </w:r>
      <w:proofErr w:type="spellStart"/>
      <w:r w:rsidRPr="007472EE">
        <w:t>regard</w:t>
      </w:r>
      <w:proofErr w:type="spellEnd"/>
      <w:r w:rsidRPr="007472EE">
        <w:t xml:space="preserve"> </w:t>
      </w:r>
      <w:proofErr w:type="spellStart"/>
      <w:r w:rsidRPr="007472EE">
        <w:t>to</w:t>
      </w:r>
      <w:proofErr w:type="spellEnd"/>
      <w:r w:rsidRPr="007472EE">
        <w:t xml:space="preserve"> </w:t>
      </w:r>
      <w:proofErr w:type="spellStart"/>
      <w:r w:rsidRPr="007472EE">
        <w:t>the</w:t>
      </w:r>
      <w:proofErr w:type="spellEnd"/>
      <w:r w:rsidRPr="007472EE">
        <w:t xml:space="preserve"> </w:t>
      </w:r>
      <w:proofErr w:type="spellStart"/>
      <w:r w:rsidRPr="007472EE">
        <w:t>processing</w:t>
      </w:r>
      <w:proofErr w:type="spellEnd"/>
      <w:r w:rsidRPr="007472EE">
        <w:t xml:space="preserve"> </w:t>
      </w:r>
      <w:proofErr w:type="spellStart"/>
      <w:r w:rsidRPr="007472EE">
        <w:t>of</w:t>
      </w:r>
      <w:proofErr w:type="spellEnd"/>
      <w:r w:rsidRPr="007472EE">
        <w:t xml:space="preserve"> personal </w:t>
      </w:r>
      <w:proofErr w:type="spellStart"/>
      <w:r w:rsidRPr="007472EE">
        <w:t>data</w:t>
      </w:r>
      <w:proofErr w:type="spellEnd"/>
      <w:r w:rsidRPr="007472EE">
        <w:t xml:space="preserve"> </w:t>
      </w:r>
      <w:proofErr w:type="spellStart"/>
      <w:r w:rsidRPr="007472EE">
        <w:t>and</w:t>
      </w:r>
      <w:proofErr w:type="spellEnd"/>
      <w:r w:rsidRPr="007472EE">
        <w:t xml:space="preserve"> on </w:t>
      </w:r>
      <w:proofErr w:type="spellStart"/>
      <w:r w:rsidRPr="007472EE">
        <w:t>the</w:t>
      </w:r>
      <w:proofErr w:type="spellEnd"/>
      <w:r w:rsidRPr="007472EE">
        <w:t xml:space="preserve"> </w:t>
      </w:r>
      <w:proofErr w:type="spellStart"/>
      <w:r w:rsidRPr="007472EE">
        <w:t>free</w:t>
      </w:r>
      <w:proofErr w:type="spellEnd"/>
      <w:r w:rsidRPr="007472EE">
        <w:t xml:space="preserve"> </w:t>
      </w:r>
      <w:proofErr w:type="spellStart"/>
      <w:r w:rsidRPr="007472EE">
        <w:t>movement</w:t>
      </w:r>
      <w:proofErr w:type="spellEnd"/>
      <w:r w:rsidRPr="007472EE">
        <w:t xml:space="preserve"> </w:t>
      </w:r>
      <w:proofErr w:type="spellStart"/>
      <w:r w:rsidRPr="007472EE">
        <w:t>of</w:t>
      </w:r>
      <w:proofErr w:type="spellEnd"/>
      <w:r w:rsidRPr="007472EE">
        <w:t xml:space="preserve"> such </w:t>
      </w:r>
      <w:proofErr w:type="spellStart"/>
      <w:r w:rsidRPr="007472EE">
        <w:t>data</w:t>
      </w:r>
      <w:proofErr w:type="spellEnd"/>
      <w:r w:rsidRPr="007472EE">
        <w:t xml:space="preserve"> (General Data </w:t>
      </w:r>
      <w:proofErr w:type="spellStart"/>
      <w:r w:rsidRPr="007472EE">
        <w:t>Protection</w:t>
      </w:r>
      <w:proofErr w:type="spellEnd"/>
      <w:r w:rsidRPr="007472EE">
        <w:t xml:space="preserve"> Regulation) (COM(2012)0011 – C7-0025/2012 – 2012/0011(COD)). Online, zitiert am 2017-09-04; Verfügbar unter http://www.europarl.europa.eu/sides/getDoc.do?type=TA&amp;language=EN&amp;reference=P7-TA-2014-0212#BKMD-6</w:t>
      </w:r>
    </w:p>
  </w:footnote>
  <w:footnote w:id="13">
    <w:p w14:paraId="20F3B858" w14:textId="77777777" w:rsidR="00B71BCA" w:rsidRPr="007472EE" w:rsidRDefault="00B71BCA" w:rsidP="00F74306">
      <w:pPr>
        <w:pStyle w:val="Funotentext"/>
      </w:pPr>
      <w:r w:rsidRPr="007472EE">
        <w:rPr>
          <w:rStyle w:val="Funotenzeichen"/>
        </w:rPr>
        <w:footnoteRef/>
      </w:r>
      <w:r w:rsidRPr="007472EE">
        <w:t xml:space="preserve"> </w:t>
      </w:r>
      <w:proofErr w:type="spellStart"/>
      <w:r w:rsidRPr="007472EE">
        <w:t>Damman</w:t>
      </w:r>
      <w:proofErr w:type="spellEnd"/>
      <w:r w:rsidRPr="007472EE">
        <w:t xml:space="preserve"> U. in Simitis (Hrsg.) Bundesdatenschutzgesetz. 8. Auflage 2014, Rn.113.</w:t>
      </w:r>
    </w:p>
  </w:footnote>
  <w:footnote w:id="14">
    <w:p w14:paraId="40F3BC0B" w14:textId="77777777" w:rsidR="00B71BCA" w:rsidRPr="00D07789" w:rsidRDefault="00B71BCA">
      <w:pPr>
        <w:pStyle w:val="Funotentext"/>
      </w:pPr>
      <w:r w:rsidRPr="007472EE">
        <w:rPr>
          <w:rStyle w:val="Funotenzeichen"/>
        </w:rPr>
        <w:footnoteRef/>
      </w:r>
      <w:r w:rsidRPr="007472EE">
        <w:t xml:space="preserve"> DIN CEN ISO/TS 14265; Medizinische Informatik - Klassifikation des Zwecks zur Verarbeitung von persönlichen Gesundheitsinformationen. Online, zitiert am 2017-09-04; Verfügbar unter https://www.beuth.de/de/technische-regel/din-cen-iso-ts-14265/149023541</w:t>
      </w:r>
    </w:p>
  </w:footnote>
  <w:footnote w:id="15">
    <w:p w14:paraId="6181D50D" w14:textId="77777777" w:rsidR="00B71BCA" w:rsidRDefault="00B71BCA" w:rsidP="0073395C">
      <w:pPr>
        <w:pStyle w:val="Funotentext"/>
      </w:pPr>
      <w:r>
        <w:rPr>
          <w:rStyle w:val="Funotenzeichen"/>
        </w:rPr>
        <w:footnoteRef/>
      </w:r>
      <w:r>
        <w:t xml:space="preserve"> Martini M. Art. 35 Rn. 15 in Plath (Hrsg.) BDSG/DSGVO: Kommentar zum BDSG und zur DSGVO sowie den Datenschutzbestimmungen des TMG und TKG. </w:t>
      </w:r>
      <w:proofErr w:type="spellStart"/>
      <w:r>
        <w:t>ottoschmidt</w:t>
      </w:r>
      <w:proofErr w:type="spellEnd"/>
      <w:r>
        <w:t xml:space="preserve"> Verlag 2016. ISBN 978-3-504-56074-4</w:t>
      </w:r>
    </w:p>
  </w:footnote>
  <w:footnote w:id="16">
    <w:p w14:paraId="4CD73282" w14:textId="77777777" w:rsidR="00B71BCA" w:rsidRDefault="00B71BCA" w:rsidP="0091362F">
      <w:pPr>
        <w:pStyle w:val="Funotentext"/>
      </w:pPr>
      <w:r>
        <w:rPr>
          <w:rStyle w:val="Funotenzeichen"/>
        </w:rPr>
        <w:footnoteRef/>
      </w:r>
      <w:r>
        <w:t xml:space="preserve"> Stefan </w:t>
      </w:r>
      <w:proofErr w:type="spellStart"/>
      <w:r>
        <w:t>Drackert</w:t>
      </w:r>
      <w:proofErr w:type="spellEnd"/>
      <w:r>
        <w:t xml:space="preserve"> (2014) Die Risiken der Verarbeitung personenbezogener Daten - Eine Untersuchung zu den Grundlagen des Datenschutzrechts. Duncker &amp; Humblot GmbH. ISBN '978-3-428-1 4730-4</w:t>
      </w:r>
    </w:p>
  </w:footnote>
  <w:footnote w:id="17">
    <w:p w14:paraId="76B97672" w14:textId="77777777" w:rsidR="00B71BCA" w:rsidRDefault="00B71BCA">
      <w:pPr>
        <w:pStyle w:val="Funotentext"/>
      </w:pPr>
      <w:r>
        <w:rPr>
          <w:rStyle w:val="Funotenzeichen"/>
        </w:rPr>
        <w:footnoteRef/>
      </w:r>
      <w:r>
        <w:t xml:space="preserve"> Zur Beschreibung er Delphi Methode siehe z. B.</w:t>
      </w:r>
    </w:p>
    <w:p w14:paraId="4401EFB8" w14:textId="77777777" w:rsidR="00B71BCA" w:rsidRDefault="00B71BCA" w:rsidP="00060224">
      <w:pPr>
        <w:pStyle w:val="Funotentext"/>
        <w:numPr>
          <w:ilvl w:val="0"/>
          <w:numId w:val="41"/>
        </w:numPr>
      </w:pPr>
      <w:r w:rsidRPr="00060224">
        <w:t>Gabler Wirtschaftslexikon</w:t>
      </w:r>
      <w:r>
        <w:t xml:space="preserve">: </w:t>
      </w:r>
      <w:r w:rsidRPr="00060224">
        <w:t>Delphi-Technik</w:t>
      </w:r>
      <w:r>
        <w:t xml:space="preserve">. </w:t>
      </w:r>
      <w:r w:rsidRPr="0056012D">
        <w:t>Online, zitiert am 2017-0</w:t>
      </w:r>
      <w:r>
        <w:t>9</w:t>
      </w:r>
      <w:r w:rsidRPr="0056012D">
        <w:t>-</w:t>
      </w:r>
      <w:r>
        <w:t>06</w:t>
      </w:r>
      <w:r w:rsidRPr="0056012D">
        <w:t>; Verfügbar unter</w:t>
      </w:r>
      <w:r>
        <w:t xml:space="preserve"> </w:t>
      </w:r>
      <w:hyperlink r:id="rId3" w:history="1">
        <w:r w:rsidRPr="00AD113A">
          <w:rPr>
            <w:rStyle w:val="Hyperlink"/>
          </w:rPr>
          <w:t>http://wirtschaftslexikon.gabler.de/Definition/delphi-technik.html</w:t>
        </w:r>
      </w:hyperlink>
    </w:p>
    <w:p w14:paraId="19564CDF" w14:textId="77777777" w:rsidR="00B71BCA" w:rsidRDefault="00B71BCA" w:rsidP="00060224">
      <w:pPr>
        <w:pStyle w:val="Funotentext"/>
        <w:numPr>
          <w:ilvl w:val="0"/>
          <w:numId w:val="41"/>
        </w:numPr>
      </w:pPr>
      <w:r>
        <w:t xml:space="preserve">Universität Augsburg, Bereich </w:t>
      </w:r>
      <w:r w:rsidRPr="00060224">
        <w:t>Qualitative Sozialforschung</w:t>
      </w:r>
      <w:r>
        <w:t xml:space="preserve">: </w:t>
      </w:r>
      <w:r w:rsidRPr="00060224">
        <w:t>Delphi-Studie</w:t>
      </w:r>
      <w:r>
        <w:t xml:space="preserve">. </w:t>
      </w:r>
      <w:r w:rsidRPr="0056012D">
        <w:t>Online, zitiert am 2017-0</w:t>
      </w:r>
      <w:r>
        <w:t>9</w:t>
      </w:r>
      <w:r w:rsidRPr="0056012D">
        <w:t>-</w:t>
      </w:r>
      <w:r>
        <w:t>06</w:t>
      </w:r>
      <w:r w:rsidRPr="0056012D">
        <w:t>; Verfügbar unter</w:t>
      </w:r>
      <w:r w:rsidRPr="00060224">
        <w:t xml:space="preserve"> </w:t>
      </w:r>
      <w:hyperlink r:id="rId4" w:history="1">
        <w:r w:rsidRPr="00AD113A">
          <w:rPr>
            <w:rStyle w:val="Hyperlink"/>
          </w:rPr>
          <w:t>http://qsf.e-learning.imb-uni-augsburg.de/node/542</w:t>
        </w:r>
      </w:hyperlink>
    </w:p>
    <w:p w14:paraId="1ECFD77D" w14:textId="77777777" w:rsidR="00B71BCA" w:rsidRDefault="00B71BCA" w:rsidP="00060224">
      <w:pPr>
        <w:pStyle w:val="Funotentext"/>
        <w:numPr>
          <w:ilvl w:val="0"/>
          <w:numId w:val="41"/>
        </w:numPr>
      </w:pPr>
      <w:r>
        <w:t xml:space="preserve">Wikipedia: </w:t>
      </w:r>
      <w:r w:rsidRPr="00060224">
        <w:t>Delphi-Methode</w:t>
      </w:r>
      <w:r>
        <w:t xml:space="preserve">. </w:t>
      </w:r>
      <w:r w:rsidRPr="0056012D">
        <w:t>Online, zitiert am 2017-0</w:t>
      </w:r>
      <w:r>
        <w:t>9</w:t>
      </w:r>
      <w:r w:rsidRPr="0056012D">
        <w:t>-</w:t>
      </w:r>
      <w:r>
        <w:t>06</w:t>
      </w:r>
      <w:r w:rsidRPr="0056012D">
        <w:t>; Verfügbar unter</w:t>
      </w:r>
      <w:r>
        <w:t xml:space="preserve"> </w:t>
      </w:r>
      <w:hyperlink r:id="rId5" w:history="1">
        <w:r w:rsidRPr="00AD113A">
          <w:rPr>
            <w:rStyle w:val="Hyperlink"/>
          </w:rPr>
          <w:t>https://de.wikipedia.org/wiki/Delphi-Methode</w:t>
        </w:r>
      </w:hyperlink>
    </w:p>
  </w:footnote>
  <w:footnote w:id="18">
    <w:p w14:paraId="268A8D09" w14:textId="77777777" w:rsidR="00B71BCA" w:rsidRDefault="00B71BCA" w:rsidP="0073395C">
      <w:pPr>
        <w:pStyle w:val="Funotentext"/>
      </w:pPr>
      <w:r>
        <w:rPr>
          <w:rStyle w:val="Funotenzeichen"/>
        </w:rPr>
        <w:footnoteRef/>
      </w:r>
      <w:r>
        <w:t xml:space="preserve"> Martini M. Art. 35 Rn. 25 in Plath (Hrsg.) BDSG/DSGVO: Kommentar zum BDSG und zur DSGVO sowie den Datenschutzbestimmungen des TMG und TKG. </w:t>
      </w:r>
      <w:proofErr w:type="spellStart"/>
      <w:r>
        <w:t>ottoschmidt</w:t>
      </w:r>
      <w:proofErr w:type="spellEnd"/>
      <w:r>
        <w:t xml:space="preserve"> Verlag 2016. ISBN 978-3-504-56074-4</w:t>
      </w:r>
    </w:p>
  </w:footnote>
  <w:footnote w:id="19">
    <w:p w14:paraId="2C5155B5" w14:textId="77777777" w:rsidR="00B71BCA" w:rsidRDefault="00B71BCA">
      <w:pPr>
        <w:pStyle w:val="Funotentext"/>
      </w:pPr>
      <w:r>
        <w:rPr>
          <w:rStyle w:val="Funotenzeichen"/>
        </w:rPr>
        <w:footnoteRef/>
      </w:r>
      <w:r>
        <w:t xml:space="preserve"> Siehe z.B.</w:t>
      </w:r>
    </w:p>
    <w:p w14:paraId="4751C683" w14:textId="77777777" w:rsidR="00B71BCA" w:rsidRDefault="00B71BCA" w:rsidP="003167AF">
      <w:pPr>
        <w:pStyle w:val="Funotentext"/>
        <w:numPr>
          <w:ilvl w:val="0"/>
          <w:numId w:val="31"/>
        </w:numPr>
      </w:pPr>
      <w:proofErr w:type="spellStart"/>
      <w:r>
        <w:t>Grages</w:t>
      </w:r>
      <w:proofErr w:type="spellEnd"/>
      <w:r>
        <w:t xml:space="preserve"> JM. Art. 32 Rn. 10</w:t>
      </w:r>
      <w:r w:rsidRPr="00060E26">
        <w:t xml:space="preserve"> </w:t>
      </w:r>
      <w:r>
        <w:t xml:space="preserve">in Plath (Hrsg.) BDSG/DSGVO: Kommentar zum BDSG und zur DSGVO sowie den Datenschutzbestimmungen des TMG und TKG. </w:t>
      </w:r>
      <w:proofErr w:type="spellStart"/>
      <w:r>
        <w:t>ottoschmidt</w:t>
      </w:r>
      <w:proofErr w:type="spellEnd"/>
      <w:r>
        <w:t xml:space="preserve"> Verlag 2016. ISBN 978-3-504-56074-4</w:t>
      </w:r>
    </w:p>
  </w:footnote>
  <w:footnote w:id="20">
    <w:p w14:paraId="27396D8D" w14:textId="77777777" w:rsidR="00B71BCA" w:rsidRDefault="00B71BCA">
      <w:pPr>
        <w:pStyle w:val="Funotentext"/>
      </w:pPr>
      <w:r>
        <w:rPr>
          <w:rStyle w:val="Funotenzeichen"/>
        </w:rPr>
        <w:footnoteRef/>
      </w:r>
      <w:r>
        <w:t xml:space="preserve"> Piltz C. Art. 32 Rn. 10 in </w:t>
      </w:r>
      <w:proofErr w:type="spellStart"/>
      <w:r>
        <w:t>Gola</w:t>
      </w:r>
      <w:proofErr w:type="spellEnd"/>
      <w:r>
        <w:t xml:space="preserve"> (Hrsg.) DSGVO: Datenschutz-Grundverordnung V= (EU) 2016/679 Kommentar. C. H. Beck Verlag 2017. ISBN 978-3-406-69543-8</w:t>
      </w:r>
    </w:p>
  </w:footnote>
  <w:footnote w:id="21">
    <w:p w14:paraId="612C8B85" w14:textId="77777777" w:rsidR="00B71BCA" w:rsidRDefault="00B71BCA">
      <w:pPr>
        <w:pStyle w:val="Funotentext"/>
      </w:pPr>
      <w:r>
        <w:rPr>
          <w:rStyle w:val="Funotenzeichen"/>
        </w:rPr>
        <w:footnoteRef/>
      </w:r>
      <w:r>
        <w:t xml:space="preserve"> Schreibauer M, </w:t>
      </w:r>
      <w:proofErr w:type="spellStart"/>
      <w:r>
        <w:t>Spittka</w:t>
      </w:r>
      <w:proofErr w:type="spellEnd"/>
      <w:r>
        <w:t xml:space="preserve"> J. Art. 32 Rn. 16 in </w:t>
      </w:r>
      <w:proofErr w:type="spellStart"/>
      <w:r>
        <w:t>Wybitul</w:t>
      </w:r>
      <w:proofErr w:type="spellEnd"/>
      <w:r>
        <w:t xml:space="preserve"> (Hrsg.) EU-Datenschutz-Grundverordnung.</w:t>
      </w:r>
      <w:r w:rsidRPr="00672722">
        <w:t xml:space="preserve"> </w:t>
      </w:r>
      <w:r>
        <w:t>Fachmedien Recht und Wirtschaft. ISBN 978-3-8005-1623-0</w:t>
      </w:r>
    </w:p>
  </w:footnote>
  <w:footnote w:id="22">
    <w:p w14:paraId="04F14A3B" w14:textId="77777777" w:rsidR="00B71BCA" w:rsidRDefault="00B71BCA">
      <w:pPr>
        <w:pStyle w:val="Funotentext"/>
      </w:pPr>
      <w:r>
        <w:rPr>
          <w:rStyle w:val="Funotenzeichen"/>
        </w:rPr>
        <w:footnoteRef/>
      </w:r>
      <w:r>
        <w:t xml:space="preserve"> </w:t>
      </w:r>
      <w:proofErr w:type="spellStart"/>
      <w:r>
        <w:t>Grages</w:t>
      </w:r>
      <w:proofErr w:type="spellEnd"/>
      <w:r>
        <w:t xml:space="preserve"> JM. Art. 32 Rn. 10</w:t>
      </w:r>
      <w:r w:rsidRPr="00060E26">
        <w:t xml:space="preserve"> </w:t>
      </w:r>
      <w:r>
        <w:t xml:space="preserve">in Plath (Hrsg.) BDSG/DSGVO: Kommentar zum BDSG und zur DSGVO sowie den Datenschutzbestimmungen des TMG und TKG. </w:t>
      </w:r>
      <w:proofErr w:type="spellStart"/>
      <w:r>
        <w:t>ottoschmidt</w:t>
      </w:r>
      <w:proofErr w:type="spellEnd"/>
      <w:r>
        <w:t xml:space="preserve"> Verlag 2016. ISBN 978-3-504-56074-4</w:t>
      </w:r>
    </w:p>
  </w:footnote>
  <w:footnote w:id="23">
    <w:p w14:paraId="37B975E7" w14:textId="77777777" w:rsidR="00B71BCA" w:rsidRDefault="00B71BCA">
      <w:pPr>
        <w:pStyle w:val="Funotentext"/>
      </w:pPr>
      <w:r>
        <w:rPr>
          <w:rStyle w:val="Funotenzeichen"/>
        </w:rPr>
        <w:footnoteRef/>
      </w:r>
      <w:r>
        <w:t xml:space="preserve"> Weitere Informationen zur FMEA z. B. bei</w:t>
      </w:r>
    </w:p>
    <w:p w14:paraId="60ECE8CC" w14:textId="77777777" w:rsidR="00B71BCA" w:rsidRDefault="00B71BCA" w:rsidP="00337818">
      <w:pPr>
        <w:pStyle w:val="Funotentext"/>
        <w:numPr>
          <w:ilvl w:val="0"/>
          <w:numId w:val="45"/>
        </w:numPr>
      </w:pPr>
      <w:r w:rsidRPr="00337818">
        <w:t>Deutsche G</w:t>
      </w:r>
      <w:r>
        <w:t xml:space="preserve">esellschaft für Qualität (DGQ): </w:t>
      </w:r>
      <w:r w:rsidRPr="00337818">
        <w:t>FMEA – Fehlermöglichkeits- und Einflussanalyse</w:t>
      </w:r>
      <w:r>
        <w:t xml:space="preserve">. </w:t>
      </w:r>
      <w:r w:rsidRPr="00337818">
        <w:t>5. Auflage 2012</w:t>
      </w:r>
      <w:r>
        <w:t xml:space="preserve">. </w:t>
      </w:r>
      <w:r w:rsidRPr="00337818">
        <w:t>ISBN/Best.-Nr.: 3-410-32333-3</w:t>
      </w:r>
      <w:r>
        <w:t xml:space="preserve">. </w:t>
      </w:r>
      <w:r w:rsidRPr="0056012D">
        <w:t>Online, zitiert am 2017-0</w:t>
      </w:r>
      <w:r>
        <w:t>9</w:t>
      </w:r>
      <w:r w:rsidRPr="0056012D">
        <w:t>-</w:t>
      </w:r>
      <w:r>
        <w:t>08</w:t>
      </w:r>
      <w:r w:rsidRPr="0056012D">
        <w:t>; Verfügbar unter</w:t>
      </w:r>
      <w:r>
        <w:t xml:space="preserve"> </w:t>
      </w:r>
      <w:hyperlink r:id="rId6" w:history="1">
        <w:r w:rsidRPr="00EB07B9">
          <w:rPr>
            <w:rStyle w:val="Hyperlink"/>
          </w:rPr>
          <w:t>https://www.dgq.de/produkte/fmea-fehlermoeglichkeits-und-einflussanalyse/</w:t>
        </w:r>
      </w:hyperlink>
    </w:p>
    <w:p w14:paraId="7BABB7B1" w14:textId="77777777" w:rsidR="00B71BCA" w:rsidRDefault="00B71BCA" w:rsidP="00337818">
      <w:pPr>
        <w:pStyle w:val="Funotentext"/>
        <w:numPr>
          <w:ilvl w:val="0"/>
          <w:numId w:val="45"/>
        </w:numPr>
      </w:pPr>
      <w:r>
        <w:t xml:space="preserve">QZ-online.de: </w:t>
      </w:r>
      <w:r w:rsidRPr="00337818">
        <w:t>Grundlagen der Fehlermöglichkeits- und Einfluss-Analyse</w:t>
      </w:r>
      <w:r>
        <w:t xml:space="preserve">. </w:t>
      </w:r>
      <w:r w:rsidRPr="0056012D">
        <w:t>Online, zitiert am 2017-0</w:t>
      </w:r>
      <w:r>
        <w:t>9</w:t>
      </w:r>
      <w:r w:rsidRPr="0056012D">
        <w:t>-</w:t>
      </w:r>
      <w:r>
        <w:t>08</w:t>
      </w:r>
      <w:r w:rsidRPr="0056012D">
        <w:t>; Verfügbar unter</w:t>
      </w:r>
      <w:r>
        <w:t xml:space="preserve"> </w:t>
      </w:r>
      <w:hyperlink r:id="rId7" w:history="1">
        <w:r w:rsidRPr="00EB07B9">
          <w:rPr>
            <w:rStyle w:val="Hyperlink"/>
          </w:rPr>
          <w:t>https://www.qz-online.de/qualitaets-management/qm-basics/methoden/fmea/artikel/grundlagen-der-fehlermoeglichkeits-und-einfluss-analyse-903982.html</w:t>
        </w:r>
      </w:hyperlink>
    </w:p>
    <w:p w14:paraId="05B2FC7D" w14:textId="77777777" w:rsidR="00B71BCA" w:rsidRDefault="00B71BCA" w:rsidP="00337818">
      <w:pPr>
        <w:pStyle w:val="Funotentext"/>
        <w:numPr>
          <w:ilvl w:val="0"/>
          <w:numId w:val="45"/>
        </w:numPr>
      </w:pPr>
      <w:r w:rsidRPr="00337818">
        <w:t>Quality Services &amp; Wissen GmbH</w:t>
      </w:r>
      <w:r>
        <w:t xml:space="preserve">: </w:t>
      </w:r>
      <w:r w:rsidRPr="00337818">
        <w:t xml:space="preserve">FMEA – </w:t>
      </w:r>
      <w:proofErr w:type="spellStart"/>
      <w:r w:rsidRPr="00337818">
        <w:t>Fehlermöglichkeits</w:t>
      </w:r>
      <w:proofErr w:type="spellEnd"/>
      <w:r w:rsidRPr="00337818">
        <w:t xml:space="preserve"> und Einflussanalyse</w:t>
      </w:r>
      <w:r>
        <w:t xml:space="preserve">. </w:t>
      </w:r>
      <w:r w:rsidRPr="0056012D">
        <w:t>Online, zitiert am 2017-0</w:t>
      </w:r>
      <w:r>
        <w:t>9</w:t>
      </w:r>
      <w:r w:rsidRPr="0056012D">
        <w:t>-</w:t>
      </w:r>
      <w:r>
        <w:t>08</w:t>
      </w:r>
      <w:r w:rsidRPr="0056012D">
        <w:t>; Verfügbar unter</w:t>
      </w:r>
      <w:r>
        <w:t xml:space="preserve"> </w:t>
      </w:r>
      <w:hyperlink r:id="rId8" w:history="1">
        <w:r w:rsidRPr="00EB07B9">
          <w:rPr>
            <w:rStyle w:val="Hyperlink"/>
          </w:rPr>
          <w:t>https://www.quality.de/fmea-fehlermoeglichkeits-einflussanalyse/</w:t>
        </w:r>
      </w:hyperlink>
    </w:p>
  </w:footnote>
  <w:footnote w:id="24">
    <w:p w14:paraId="3E8CEC33" w14:textId="77777777" w:rsidR="00B71BCA" w:rsidRDefault="00B71BCA">
      <w:pPr>
        <w:pStyle w:val="Funotentext"/>
      </w:pPr>
      <w:r>
        <w:rPr>
          <w:rStyle w:val="Funotenzeichen"/>
        </w:rPr>
        <w:footnoteRef/>
      </w:r>
      <w:r>
        <w:t xml:space="preserve"> </w:t>
      </w:r>
      <w:r w:rsidRPr="0056012D">
        <w:t>Artikel-29-Datenschutzgruppe</w:t>
      </w:r>
      <w:r>
        <w:t xml:space="preserve">: Stellungnahme 5/2014 zu </w:t>
      </w:r>
      <w:r w:rsidRPr="0056012D">
        <w:t>Anonymisierungstechniken</w:t>
      </w:r>
      <w:r>
        <w:t xml:space="preserve">. </w:t>
      </w:r>
      <w:r w:rsidRPr="0056012D">
        <w:t>Online, zitiert am 2017-0</w:t>
      </w:r>
      <w:r>
        <w:t>9</w:t>
      </w:r>
      <w:r w:rsidRPr="0056012D">
        <w:t>-</w:t>
      </w:r>
      <w:r>
        <w:t>04</w:t>
      </w:r>
      <w:r w:rsidRPr="0056012D">
        <w:t>; Verfügbar unter</w:t>
      </w:r>
      <w:r>
        <w:t xml:space="preserve"> </w:t>
      </w:r>
      <w:r w:rsidRPr="0056012D">
        <w:t>http://ec.europa.eu/justice/data-protection/article-29/documentation/opinion-recommendation/files/2014/wp216_de.pdf</w:t>
      </w:r>
    </w:p>
  </w:footnote>
  <w:footnote w:id="25">
    <w:p w14:paraId="3F4E417C" w14:textId="77777777" w:rsidR="00B71BCA" w:rsidRDefault="00B71BCA" w:rsidP="00166F23">
      <w:pPr>
        <w:pStyle w:val="Funotentext"/>
      </w:pPr>
      <w:r>
        <w:rPr>
          <w:rStyle w:val="Funotenzeichen"/>
        </w:rPr>
        <w:footnoteRef/>
      </w:r>
      <w:r>
        <w:t xml:space="preserve"> </w:t>
      </w:r>
      <w:r w:rsidRPr="00021202">
        <w:t>Bundesamt für Sicherheit in der Informationstechnik</w:t>
      </w:r>
      <w:r>
        <w:t xml:space="preserve">: </w:t>
      </w:r>
      <w:r w:rsidRPr="00021202">
        <w:t>Technische Richtlinie 02102: Kryptographische Verfahren: Empfehlungen und Schlüssellängen</w:t>
      </w:r>
      <w:r>
        <w:t xml:space="preserve">. </w:t>
      </w:r>
      <w:r w:rsidRPr="0056012D">
        <w:t>Online, zitiert am 2017-0</w:t>
      </w:r>
      <w:r>
        <w:t>9</w:t>
      </w:r>
      <w:r w:rsidRPr="0056012D">
        <w:t>-</w:t>
      </w:r>
      <w:r>
        <w:t>04</w:t>
      </w:r>
      <w:r w:rsidRPr="0056012D">
        <w:t>; Verfügbar unter</w:t>
      </w:r>
      <w:r>
        <w:t xml:space="preserve"> </w:t>
      </w:r>
      <w:r w:rsidRPr="00021202">
        <w:t>(</w:t>
      </w:r>
      <w:hyperlink r:id="rId9" w:history="1">
        <w:r w:rsidRPr="00021202">
          <w:rPr>
            <w:rStyle w:val="Hyperlink"/>
          </w:rPr>
          <w:t>https://www.bsi.bund.de/DE/Publikationen/TechnischeRichtlinien/tr02102/index_htm.html</w:t>
        </w:r>
      </w:hyperlink>
      <w:r>
        <w:t>. 4 Teile:</w:t>
      </w:r>
    </w:p>
    <w:p w14:paraId="38330D89" w14:textId="77777777" w:rsidR="00B71BCA" w:rsidRDefault="00B71BCA" w:rsidP="00166F23">
      <w:pPr>
        <w:pStyle w:val="Funotentext"/>
        <w:numPr>
          <w:ilvl w:val="0"/>
          <w:numId w:val="17"/>
        </w:numPr>
      </w:pPr>
      <w:r>
        <w:t>BSI TR-02102-1: Bewertung der Sicherheit ausgewählter kryptographischer Verfahren, ermöglicht längerfristige Auswahl geeigneter Verfahren</w:t>
      </w:r>
    </w:p>
    <w:p w14:paraId="199B124B" w14:textId="77777777" w:rsidR="00B71BCA" w:rsidRDefault="00B71BCA" w:rsidP="00166F23">
      <w:pPr>
        <w:pStyle w:val="Funotentext"/>
        <w:numPr>
          <w:ilvl w:val="0"/>
          <w:numId w:val="17"/>
        </w:numPr>
      </w:pPr>
      <w:r>
        <w:t>BSI TR-02102-2: Empfehlungen bzgl. Einsatz TLS</w:t>
      </w:r>
    </w:p>
    <w:p w14:paraId="6D1992B2" w14:textId="77777777" w:rsidR="00B71BCA" w:rsidRDefault="00B71BCA" w:rsidP="00166F23">
      <w:pPr>
        <w:pStyle w:val="Funotentext"/>
        <w:numPr>
          <w:ilvl w:val="0"/>
          <w:numId w:val="17"/>
        </w:numPr>
      </w:pPr>
      <w:r>
        <w:t>BSI TR-02102-3: Empfehlungen bzgl. IPSec, und Internet Key Exchange</w:t>
      </w:r>
    </w:p>
    <w:p w14:paraId="091DB380" w14:textId="77777777" w:rsidR="00B71BCA" w:rsidRDefault="00B71BCA" w:rsidP="00166F23">
      <w:pPr>
        <w:pStyle w:val="Funotentext"/>
        <w:numPr>
          <w:ilvl w:val="0"/>
          <w:numId w:val="17"/>
        </w:numPr>
      </w:pPr>
      <w:r>
        <w:t>BSI TR-02102-4: Empfehlungen bzgl. SSH</w:t>
      </w:r>
    </w:p>
  </w:footnote>
  <w:footnote w:id="26">
    <w:p w14:paraId="537BDA4A" w14:textId="77777777" w:rsidR="00B71BCA" w:rsidRDefault="00B71BCA" w:rsidP="00166F23">
      <w:pPr>
        <w:pStyle w:val="Funotentext"/>
      </w:pPr>
      <w:r>
        <w:rPr>
          <w:rStyle w:val="Funotenzeichen"/>
        </w:rPr>
        <w:footnoteRef/>
      </w:r>
      <w:r>
        <w:t xml:space="preserve"> </w:t>
      </w:r>
      <w:r w:rsidRPr="00021202">
        <w:t>Bundesnetzagentur: Auflistung geeigneter Algorithmen und Parameter</w:t>
      </w:r>
      <w:r>
        <w:t>.</w:t>
      </w:r>
      <w:r w:rsidRPr="00021202">
        <w:t xml:space="preserve"> </w:t>
      </w:r>
      <w:r w:rsidRPr="0056012D">
        <w:t>Online, zitiert am 2017-0</w:t>
      </w:r>
      <w:r>
        <w:t>9</w:t>
      </w:r>
      <w:r w:rsidRPr="0056012D">
        <w:t>-</w:t>
      </w:r>
      <w:r>
        <w:t>04</w:t>
      </w:r>
      <w:r w:rsidRPr="0056012D">
        <w:t>; Verfügbar unter</w:t>
      </w:r>
      <w:r>
        <w:t xml:space="preserve"> </w:t>
      </w:r>
      <w:hyperlink r:id="rId10" w:history="1">
        <w:r w:rsidRPr="00715BA8">
          <w:rPr>
            <w:rStyle w:val="Hyperlink"/>
          </w:rPr>
          <w:t>https://www.bundesnetzagentur.de/DE/Service-Funktionen/ElektronischeVertrauensdienste/QES/WelcheAufgabenhatdieBundesnetzagentur/GeeigneteAlgorithmenfestlegen/geeignetealgorithmenfestlegen_node.html</w:t>
        </w:r>
      </w:hyperlink>
    </w:p>
  </w:footnote>
  <w:footnote w:id="27">
    <w:p w14:paraId="517229D7" w14:textId="77777777" w:rsidR="00B71BCA" w:rsidRDefault="00B71BCA">
      <w:pPr>
        <w:pStyle w:val="Funotentext"/>
      </w:pPr>
      <w:r>
        <w:rPr>
          <w:rStyle w:val="Funotenzeichen"/>
        </w:rPr>
        <w:footnoteRef/>
      </w:r>
      <w:r>
        <w:t xml:space="preserve"> Siehe z. B.</w:t>
      </w:r>
    </w:p>
    <w:p w14:paraId="23BBF898" w14:textId="77777777" w:rsidR="00B71BCA" w:rsidRDefault="00B71BCA" w:rsidP="00E5793B">
      <w:pPr>
        <w:pStyle w:val="Funotentext"/>
        <w:numPr>
          <w:ilvl w:val="0"/>
          <w:numId w:val="33"/>
        </w:numPr>
      </w:pPr>
      <w:r w:rsidRPr="00E5793B">
        <w:t>Schaumüller-</w:t>
      </w:r>
      <w:proofErr w:type="spellStart"/>
      <w:r w:rsidRPr="00E5793B">
        <w:t>Bichl</w:t>
      </w:r>
      <w:proofErr w:type="spellEnd"/>
      <w:r>
        <w:t xml:space="preserve"> I, </w:t>
      </w:r>
      <w:proofErr w:type="spellStart"/>
      <w:r>
        <w:t>Kolberger</w:t>
      </w:r>
      <w:proofErr w:type="spellEnd"/>
      <w:r>
        <w:t xml:space="preserve"> A (2016) Information Security </w:t>
      </w:r>
      <w:proofErr w:type="spellStart"/>
      <w:r>
        <w:t>RiskAnalysis</w:t>
      </w:r>
      <w:proofErr w:type="spellEnd"/>
      <w:r>
        <w:t xml:space="preserve"> in komplexen Systemen - neue Herausforderungen und Lösungsansätze.</w:t>
      </w:r>
      <w:r w:rsidRPr="00021202">
        <w:t xml:space="preserve"> </w:t>
      </w:r>
      <w:r w:rsidRPr="0056012D">
        <w:t>Online, zitiert am 2017-0</w:t>
      </w:r>
      <w:r>
        <w:t>9</w:t>
      </w:r>
      <w:r w:rsidRPr="0056012D">
        <w:t>-</w:t>
      </w:r>
      <w:r>
        <w:t>04</w:t>
      </w:r>
      <w:r w:rsidRPr="0056012D">
        <w:t>; Verfügbar unter</w:t>
      </w:r>
      <w:r>
        <w:t xml:space="preserve"> </w:t>
      </w:r>
      <w:hyperlink r:id="rId11" w:history="1">
        <w:r w:rsidRPr="00715BA8">
          <w:rPr>
            <w:rStyle w:val="Hyperlink"/>
          </w:rPr>
          <w:t>https://pdfs.semanticscholar.org/f72b/610fb2d1ae28ba22ec04d54a9b8f6635e565.pdf</w:t>
        </w:r>
      </w:hyperlink>
    </w:p>
    <w:p w14:paraId="7D3CB0BD" w14:textId="77777777" w:rsidR="00B71BCA" w:rsidRDefault="00B71BCA" w:rsidP="00E5793B">
      <w:pPr>
        <w:pStyle w:val="Funotentext"/>
        <w:numPr>
          <w:ilvl w:val="0"/>
          <w:numId w:val="33"/>
        </w:numPr>
      </w:pPr>
      <w:r w:rsidRPr="00E5793B">
        <w:t>Wagner</w:t>
      </w:r>
      <w:r>
        <w:t xml:space="preserve"> </w:t>
      </w:r>
      <w:r w:rsidRPr="00E5793B">
        <w:t xml:space="preserve">SM, Bode </w:t>
      </w:r>
      <w:r>
        <w:t xml:space="preserve">C. </w:t>
      </w:r>
      <w:r w:rsidRPr="00E5793B">
        <w:t>Empirische Untersuchung von SC-Risiken und SC-Risikomanagement in Deutschland</w:t>
      </w:r>
      <w:r>
        <w:t xml:space="preserve">. In: </w:t>
      </w:r>
      <w:proofErr w:type="spellStart"/>
      <w:r w:rsidRPr="00E5793B">
        <w:t>Vahrenkamp</w:t>
      </w:r>
      <w:proofErr w:type="spellEnd"/>
      <w:r>
        <w:t>/</w:t>
      </w:r>
      <w:r w:rsidRPr="00E5793B">
        <w:t xml:space="preserve"> </w:t>
      </w:r>
      <w:proofErr w:type="spellStart"/>
      <w:r w:rsidRPr="00E5793B">
        <w:t>Siepermann</w:t>
      </w:r>
      <w:proofErr w:type="spellEnd"/>
      <w:r>
        <w:t xml:space="preserve"> (Hrsg.) R</w:t>
      </w:r>
      <w:r w:rsidRPr="00E5793B">
        <w:t>isikomanagement in Supply Chains: Gefahren abwehren, Chancen nutzen, Erfolg generieren</w:t>
      </w:r>
      <w:r>
        <w:t xml:space="preserve">. </w:t>
      </w:r>
      <w:r w:rsidRPr="00E5793B">
        <w:t>Erich Schmidt Verlag</w:t>
      </w:r>
      <w:r>
        <w:t xml:space="preserve">. 2007 ISBN </w:t>
      </w:r>
      <w:r w:rsidRPr="00E5793B">
        <w:t>978-3503100415</w:t>
      </w:r>
    </w:p>
    <w:p w14:paraId="1C55347B" w14:textId="77777777" w:rsidR="00B71BCA" w:rsidRDefault="00B71BCA" w:rsidP="00BD1C28">
      <w:pPr>
        <w:pStyle w:val="Funotentext"/>
        <w:ind w:left="360"/>
      </w:pPr>
      <w:r>
        <w:t>Allgemeiner siehe auch Wikipedia: „</w:t>
      </w:r>
      <w:r w:rsidRPr="00BD1C28">
        <w:t>Resilienz (Ingenieurwissenschaften)</w:t>
      </w:r>
      <w:r>
        <w:t xml:space="preserve">“. </w:t>
      </w:r>
      <w:r w:rsidRPr="0056012D">
        <w:t>Online, zitiert am 2017-0</w:t>
      </w:r>
      <w:r>
        <w:t>9</w:t>
      </w:r>
      <w:r w:rsidRPr="0056012D">
        <w:t>-</w:t>
      </w:r>
      <w:r>
        <w:t>04</w:t>
      </w:r>
      <w:r w:rsidRPr="0056012D">
        <w:t>; Verfügbar unter</w:t>
      </w:r>
      <w:r>
        <w:t xml:space="preserve"> </w:t>
      </w:r>
      <w:hyperlink r:id="rId12" w:history="1">
        <w:r w:rsidRPr="00715BA8">
          <w:rPr>
            <w:rStyle w:val="Hyperlink"/>
          </w:rPr>
          <w:t>https://de.wikipedia.org/wiki/Resilienz_(Ingenieurwissenschaften)</w:t>
        </w:r>
      </w:hyperlink>
    </w:p>
  </w:footnote>
  <w:footnote w:id="28">
    <w:p w14:paraId="0BCB02DE" w14:textId="77777777" w:rsidR="00B71BCA" w:rsidRDefault="00B71BCA">
      <w:pPr>
        <w:pStyle w:val="Funotentext"/>
      </w:pPr>
      <w:r>
        <w:rPr>
          <w:rStyle w:val="Funotenzeichen"/>
        </w:rPr>
        <w:footnoteRef/>
      </w:r>
      <w:r>
        <w:t xml:space="preserve"> </w:t>
      </w:r>
      <w:proofErr w:type="spellStart"/>
      <w:r>
        <w:t>Jandt</w:t>
      </w:r>
      <w:proofErr w:type="spellEnd"/>
      <w:r>
        <w:t xml:space="preserve"> S. Art 32 Rn. 26 in </w:t>
      </w:r>
      <w:proofErr w:type="spellStart"/>
      <w:r>
        <w:t>Kühling</w:t>
      </w:r>
      <w:proofErr w:type="spellEnd"/>
      <w:r>
        <w:t>/Buchner (Hrsg.) DS-GVO Datenschutz-Grundverordnung Kommentar. C.H.Beck Verlag 2017. ISBN 978-3-406-702129</w:t>
      </w:r>
    </w:p>
  </w:footnote>
  <w:footnote w:id="29">
    <w:p w14:paraId="0639AA43" w14:textId="77777777" w:rsidR="00B71BCA" w:rsidRDefault="00B71BCA">
      <w:pPr>
        <w:pStyle w:val="Funotentext"/>
      </w:pPr>
      <w:r>
        <w:rPr>
          <w:rStyle w:val="Funotenzeichen"/>
        </w:rPr>
        <w:footnoteRef/>
      </w:r>
      <w:r>
        <w:t xml:space="preserve"> </w:t>
      </w:r>
      <w:proofErr w:type="spellStart"/>
      <w:r>
        <w:t>Jandt</w:t>
      </w:r>
      <w:proofErr w:type="spellEnd"/>
      <w:r>
        <w:t xml:space="preserve"> S. Art 32 Rn. 28 in </w:t>
      </w:r>
      <w:proofErr w:type="spellStart"/>
      <w:r>
        <w:t>Kühling</w:t>
      </w:r>
      <w:proofErr w:type="spellEnd"/>
      <w:r>
        <w:t>/Buchner (Hrsg.) DS-GVO Datenschutz-Grundverordnung Kommentar. C.H.Beck Verlag 2017. ISBN 978-3-406-702</w:t>
      </w:r>
    </w:p>
  </w:footnote>
  <w:footnote w:id="30">
    <w:p w14:paraId="6D4574E0" w14:textId="77777777" w:rsidR="00B71BCA" w:rsidRDefault="00B71BCA">
      <w:pPr>
        <w:pStyle w:val="Funotentext"/>
      </w:pPr>
      <w:r>
        <w:rPr>
          <w:rStyle w:val="Funotenzeichen"/>
        </w:rPr>
        <w:footnoteRef/>
      </w:r>
      <w:r>
        <w:t xml:space="preserve"> Piltz C. Art. 32 Rn. 33 in </w:t>
      </w:r>
      <w:proofErr w:type="spellStart"/>
      <w:r>
        <w:t>Gola</w:t>
      </w:r>
      <w:proofErr w:type="spellEnd"/>
      <w:r>
        <w:t xml:space="preserve"> (Hrsg.) DSGVO: Datenschutz-Grundverordnung V= (EU) 2016/679 Kommentar. C. H. Beck Verlag 2017. ISBN 978-3-406-69543-8</w:t>
      </w:r>
    </w:p>
  </w:footnote>
  <w:footnote w:id="31">
    <w:p w14:paraId="1CA1997B" w14:textId="77777777" w:rsidR="00B71BCA" w:rsidRDefault="00B71BCA">
      <w:pPr>
        <w:pStyle w:val="Funotentext"/>
      </w:pPr>
      <w:r>
        <w:rPr>
          <w:rStyle w:val="Funotenzeichen"/>
        </w:rPr>
        <w:footnoteRef/>
      </w:r>
      <w:r>
        <w:t xml:space="preserve"> </w:t>
      </w:r>
      <w:proofErr w:type="spellStart"/>
      <w:r>
        <w:t>Jandt</w:t>
      </w:r>
      <w:proofErr w:type="spellEnd"/>
      <w:r>
        <w:t xml:space="preserve"> S. Art 32 Rn. 29 in </w:t>
      </w:r>
      <w:proofErr w:type="spellStart"/>
      <w:r>
        <w:t>Kühling</w:t>
      </w:r>
      <w:proofErr w:type="spellEnd"/>
      <w:r>
        <w:t>/Buchner (Hrsg.) DS-GVO Datenschutz-Grundverordnung Kommentar. C.H.Beck Verlag 2017. ISBN 978-3-406-702</w:t>
      </w:r>
    </w:p>
  </w:footnote>
  <w:footnote w:id="32">
    <w:p w14:paraId="7E89D0EE" w14:textId="77777777" w:rsidR="00B71BCA" w:rsidRDefault="00B71BCA">
      <w:pPr>
        <w:pStyle w:val="Funotentext"/>
      </w:pPr>
      <w:r>
        <w:rPr>
          <w:rStyle w:val="Funotenzeichen"/>
        </w:rPr>
        <w:footnoteRef/>
      </w:r>
      <w:r>
        <w:t xml:space="preserve"> Wikipedia: </w:t>
      </w:r>
      <w:proofErr w:type="spellStart"/>
      <w:r>
        <w:t>Demingkreis</w:t>
      </w:r>
      <w:proofErr w:type="spellEnd"/>
      <w:r>
        <w:t xml:space="preserve">. [Online, zitiert am 2017-09-25]; Verfügbar unter </w:t>
      </w:r>
      <w:r w:rsidRPr="00C27BB8">
        <w:t>https://de.wikipedia.org/wiki/Demingkreis</w:t>
      </w:r>
    </w:p>
  </w:footnote>
  <w:footnote w:id="33">
    <w:p w14:paraId="08214515" w14:textId="77777777" w:rsidR="00B71BCA" w:rsidRDefault="00B71BCA">
      <w:pPr>
        <w:pStyle w:val="Funotentext"/>
      </w:pPr>
      <w:r>
        <w:rPr>
          <w:rStyle w:val="Funotenzeichen"/>
        </w:rPr>
        <w:footnoteRef/>
      </w:r>
      <w:r>
        <w:t xml:space="preserve"> Piltz C. Art. 32 Rn. 37 in </w:t>
      </w:r>
      <w:proofErr w:type="spellStart"/>
      <w:r>
        <w:t>Gola</w:t>
      </w:r>
      <w:proofErr w:type="spellEnd"/>
      <w:r>
        <w:t xml:space="preserve"> (Hrsg.) DSGVO: Datenschutz-Grundverordnung V= (EU) 2016/679 Kommentar. C. H. Beck Verlag 2017. ISBN 978-3-406-69543-8</w:t>
      </w:r>
    </w:p>
  </w:footnote>
  <w:footnote w:id="34">
    <w:p w14:paraId="7F63EB9A" w14:textId="77777777" w:rsidR="00B71BCA" w:rsidRDefault="00B71BCA">
      <w:pPr>
        <w:pStyle w:val="Funotentext"/>
      </w:pPr>
      <w:r>
        <w:rPr>
          <w:rStyle w:val="Funotenzeichen"/>
        </w:rPr>
        <w:footnoteRef/>
      </w:r>
      <w:r>
        <w:t xml:space="preserve"> </w:t>
      </w:r>
      <w:proofErr w:type="spellStart"/>
      <w:r>
        <w:t>Grages</w:t>
      </w:r>
      <w:proofErr w:type="spellEnd"/>
      <w:r>
        <w:t xml:space="preserve"> JM. Art. 32 Rn. 13</w:t>
      </w:r>
      <w:r w:rsidRPr="00060E26">
        <w:t xml:space="preserve"> </w:t>
      </w:r>
      <w:r>
        <w:t xml:space="preserve">in Plath (Hrsg.) BDSG/DSGVO: Kommentar zum BDSG und zur DSGVO sowie den Datenschutzbestimmungen des TMG und TKG. </w:t>
      </w:r>
      <w:proofErr w:type="spellStart"/>
      <w:r>
        <w:t>ottoschmidt</w:t>
      </w:r>
      <w:proofErr w:type="spellEnd"/>
      <w:r>
        <w:t xml:space="preserve"> Verlag 2016. ISBN 978-3-504-56074-4</w:t>
      </w:r>
    </w:p>
  </w:footnote>
  <w:footnote w:id="35">
    <w:p w14:paraId="37525CE5" w14:textId="77777777" w:rsidR="00B71BCA" w:rsidRDefault="00B71BCA">
      <w:pPr>
        <w:pStyle w:val="Funotentext"/>
      </w:pPr>
      <w:r>
        <w:rPr>
          <w:rStyle w:val="Funotenzeichen"/>
        </w:rPr>
        <w:footnoteRef/>
      </w:r>
      <w:r>
        <w:t xml:space="preserve"> Piltz C. Art. 32 Rn. 50 in </w:t>
      </w:r>
      <w:proofErr w:type="spellStart"/>
      <w:r>
        <w:t>Gola</w:t>
      </w:r>
      <w:proofErr w:type="spellEnd"/>
      <w:r>
        <w:t xml:space="preserve"> (Hrsg.) DSGVO: Datenschutz-Grundverordnung V= (EU) 2016/679 Kommentar. C. H. Beck Verlag 2017. ISBN 978-3-406-69543-8</w:t>
      </w:r>
    </w:p>
  </w:footnote>
  <w:footnote w:id="36">
    <w:p w14:paraId="6DC29109" w14:textId="77777777" w:rsidR="00B71BCA" w:rsidRDefault="00B71BCA">
      <w:pPr>
        <w:pStyle w:val="Funotentext"/>
      </w:pPr>
      <w:r>
        <w:rPr>
          <w:rStyle w:val="Funotenzeichen"/>
        </w:rPr>
        <w:footnoteRef/>
      </w:r>
      <w:r>
        <w:t xml:space="preserve"> Siehe z.B. „</w:t>
      </w:r>
      <w:r w:rsidRPr="00CB4359">
        <w:t>Muster-Auftragsverarbeitungs-Vertrag für das Gesundheitswesen</w:t>
      </w:r>
      <w:r>
        <w:t>“, a</w:t>
      </w:r>
      <w:r w:rsidRPr="00CB4359">
        <w:t>ktualisierte, der DS-GVO angepasste zweite Version, Stand 14.06. 2017</w:t>
      </w:r>
      <w:r>
        <w:t xml:space="preserve">. </w:t>
      </w:r>
      <w:r w:rsidRPr="00CB4359">
        <w:t>§</w:t>
      </w:r>
      <w:r>
        <w:t> </w:t>
      </w:r>
      <w:r w:rsidRPr="00CB4359">
        <w:t>5 Weisungsbefugnis des Auftraggebers</w:t>
      </w:r>
      <w:r>
        <w:t xml:space="preserve">. Online, zitiert am 2016-07-12; Verfügbar unter </w:t>
      </w:r>
      <w:r w:rsidRPr="00CB4359">
        <w:t>http://ds-gvo.gesundheitsdatenschutz.org/html/adv-vertrag.php</w:t>
      </w:r>
    </w:p>
  </w:footnote>
  <w:footnote w:id="37">
    <w:p w14:paraId="5C42E9EC" w14:textId="77777777" w:rsidR="00B71BCA" w:rsidRDefault="00B71BCA">
      <w:pPr>
        <w:pStyle w:val="Funotentext"/>
      </w:pPr>
      <w:r>
        <w:rPr>
          <w:rStyle w:val="Funotenzeichen"/>
        </w:rPr>
        <w:footnoteRef/>
      </w:r>
      <w:r>
        <w:t xml:space="preserve"> </w:t>
      </w:r>
      <w:proofErr w:type="spellStart"/>
      <w:r>
        <w:t>Grages</w:t>
      </w:r>
      <w:proofErr w:type="spellEnd"/>
      <w:r>
        <w:t xml:space="preserve"> JM. Art. 32 Rn. 4</w:t>
      </w:r>
      <w:r w:rsidRPr="00060E26">
        <w:t xml:space="preserve"> </w:t>
      </w:r>
      <w:r>
        <w:t xml:space="preserve">in Plath (Hrsg.) BDSG/DSGVO: Kommentar zum BDSG und zur DSGVO sowie den Datenschutzbestimmungen des TMG und TKG. </w:t>
      </w:r>
      <w:proofErr w:type="spellStart"/>
      <w:r>
        <w:t>ottoschmidt</w:t>
      </w:r>
      <w:proofErr w:type="spellEnd"/>
      <w:r>
        <w:t xml:space="preserve"> Verlag 2016. ISBN 978-3-504-56074-4</w:t>
      </w:r>
    </w:p>
  </w:footnote>
  <w:footnote w:id="38">
    <w:p w14:paraId="0E14F30E" w14:textId="77777777" w:rsidR="00B71BCA" w:rsidRDefault="00B71BCA" w:rsidP="00FD56B2">
      <w:pPr>
        <w:pStyle w:val="Funotentext"/>
      </w:pPr>
      <w:r>
        <w:rPr>
          <w:rStyle w:val="Funotenzeichen"/>
        </w:rPr>
        <w:footnoteRef/>
      </w:r>
      <w:r>
        <w:t xml:space="preserve"> Forum Privatheit und selbstbestimmtes Leben in der Digitalen Welt (2016) White Paper Datenschutz-Folgenabschätzung: Ein Werkzeug für einen besseren Datenschutz. Tabelle 1, S.27,28. Online, zitiert am 2016-07-12; Verfügbar unter https://www.forum-privatheit.de/forum-privatheit-de/aktuelles/aktuelles/aktuelles_047.php</w:t>
      </w:r>
    </w:p>
  </w:footnote>
  <w:footnote w:id="39">
    <w:p w14:paraId="54BD1E47" w14:textId="77777777" w:rsidR="00B71BCA" w:rsidRDefault="00B71BCA" w:rsidP="00C55D2B">
      <w:pPr>
        <w:pStyle w:val="Funotentext"/>
      </w:pPr>
      <w:r>
        <w:rPr>
          <w:rStyle w:val="Funotenzeichen"/>
        </w:rPr>
        <w:footnoteRef/>
      </w:r>
      <w:r>
        <w:t xml:space="preserve"> Popp in Sydow, Europäische Datenschutzgrund-Verordnung, Handkommentar 2017, Art. 83 Rn. 14, Nomos Kommentar, ISBN978-3-8487-1782-8.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F3136" w14:textId="77777777" w:rsidR="00B71BCA" w:rsidRDefault="00B71BC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55CDC" w14:textId="77777777" w:rsidR="00B71BCA" w:rsidRDefault="00B71BC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0A8E" w14:textId="77777777" w:rsidR="00B71BCA" w:rsidRDefault="00B71BC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D28A8" w14:textId="77777777" w:rsidR="00B71BCA" w:rsidRDefault="00B71BC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E14"/>
    <w:multiLevelType w:val="hybridMultilevel"/>
    <w:tmpl w:val="04FCAB8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E437F8"/>
    <w:multiLevelType w:val="hybridMultilevel"/>
    <w:tmpl w:val="AA5888C2"/>
    <w:lvl w:ilvl="0" w:tplc="C144F5C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D04144"/>
    <w:multiLevelType w:val="hybridMultilevel"/>
    <w:tmpl w:val="153CF84E"/>
    <w:lvl w:ilvl="0" w:tplc="354272C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371EB0"/>
    <w:multiLevelType w:val="hybridMultilevel"/>
    <w:tmpl w:val="1E8E7186"/>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EA751F"/>
    <w:multiLevelType w:val="hybridMultilevel"/>
    <w:tmpl w:val="D7D20EB6"/>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E4F282A"/>
    <w:multiLevelType w:val="hybridMultilevel"/>
    <w:tmpl w:val="D0F622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F9461A3"/>
    <w:multiLevelType w:val="hybridMultilevel"/>
    <w:tmpl w:val="8898D1F8"/>
    <w:lvl w:ilvl="0" w:tplc="5F1E88B2">
      <w:start w:val="5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FFF5A09"/>
    <w:multiLevelType w:val="hybridMultilevel"/>
    <w:tmpl w:val="6E2E490C"/>
    <w:lvl w:ilvl="0" w:tplc="26A0228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28767FB"/>
    <w:multiLevelType w:val="hybridMultilevel"/>
    <w:tmpl w:val="9294CD14"/>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4C03910"/>
    <w:multiLevelType w:val="hybridMultilevel"/>
    <w:tmpl w:val="CA746CDE"/>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A5F598E"/>
    <w:multiLevelType w:val="hybridMultilevel"/>
    <w:tmpl w:val="E8861BC0"/>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FC75EB8"/>
    <w:multiLevelType w:val="hybridMultilevel"/>
    <w:tmpl w:val="FDC6375E"/>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17D6EC0"/>
    <w:multiLevelType w:val="hybridMultilevel"/>
    <w:tmpl w:val="AD285D5E"/>
    <w:lvl w:ilvl="0" w:tplc="21BA2B1A">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17E13BC"/>
    <w:multiLevelType w:val="hybridMultilevel"/>
    <w:tmpl w:val="A8CE7CBC"/>
    <w:lvl w:ilvl="0" w:tplc="354272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0334B4F"/>
    <w:multiLevelType w:val="hybridMultilevel"/>
    <w:tmpl w:val="96B0668C"/>
    <w:lvl w:ilvl="0" w:tplc="C144F5C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0991C42"/>
    <w:multiLevelType w:val="hybridMultilevel"/>
    <w:tmpl w:val="A6FEE7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6CC6405"/>
    <w:multiLevelType w:val="hybridMultilevel"/>
    <w:tmpl w:val="D8746F98"/>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8886DBC"/>
    <w:multiLevelType w:val="hybridMultilevel"/>
    <w:tmpl w:val="26A4C9D6"/>
    <w:lvl w:ilvl="0" w:tplc="21BA2B1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3B335B54"/>
    <w:multiLevelType w:val="hybridMultilevel"/>
    <w:tmpl w:val="DF66EADC"/>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B8C301E"/>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nsid w:val="3BEB77A3"/>
    <w:multiLevelType w:val="hybridMultilevel"/>
    <w:tmpl w:val="FA180E14"/>
    <w:lvl w:ilvl="0" w:tplc="DBB8D37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D94060B"/>
    <w:multiLevelType w:val="hybridMultilevel"/>
    <w:tmpl w:val="161E018A"/>
    <w:lvl w:ilvl="0" w:tplc="BAA85D72">
      <w:start w:val="1"/>
      <w:numFmt w:val="lowerLetter"/>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44F4F24"/>
    <w:multiLevelType w:val="hybridMultilevel"/>
    <w:tmpl w:val="D3482E92"/>
    <w:lvl w:ilvl="0" w:tplc="C144F5C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5657049"/>
    <w:multiLevelType w:val="hybridMultilevel"/>
    <w:tmpl w:val="E168FA12"/>
    <w:lvl w:ilvl="0" w:tplc="21BA2B1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468402E7"/>
    <w:multiLevelType w:val="hybridMultilevel"/>
    <w:tmpl w:val="275EB2D6"/>
    <w:lvl w:ilvl="0" w:tplc="354272C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7A3758F"/>
    <w:multiLevelType w:val="multilevel"/>
    <w:tmpl w:val="600E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C761242"/>
    <w:multiLevelType w:val="hybridMultilevel"/>
    <w:tmpl w:val="27BA521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E060943"/>
    <w:multiLevelType w:val="hybridMultilevel"/>
    <w:tmpl w:val="CEDA06AC"/>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1072DCB"/>
    <w:multiLevelType w:val="hybridMultilevel"/>
    <w:tmpl w:val="325EAD56"/>
    <w:lvl w:ilvl="0" w:tplc="C95A3C6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1434D65"/>
    <w:multiLevelType w:val="hybridMultilevel"/>
    <w:tmpl w:val="E2989948"/>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77C0A65"/>
    <w:multiLevelType w:val="hybridMultilevel"/>
    <w:tmpl w:val="07A6CE62"/>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7CA27D1"/>
    <w:multiLevelType w:val="multilevel"/>
    <w:tmpl w:val="600E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A58332B"/>
    <w:multiLevelType w:val="hybridMultilevel"/>
    <w:tmpl w:val="FEB62ACA"/>
    <w:lvl w:ilvl="0" w:tplc="7A42B3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AD14A3A"/>
    <w:multiLevelType w:val="hybridMultilevel"/>
    <w:tmpl w:val="D1509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1E605B1"/>
    <w:multiLevelType w:val="hybridMultilevel"/>
    <w:tmpl w:val="692E89EA"/>
    <w:lvl w:ilvl="0" w:tplc="81B09BE6">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2F81A0E"/>
    <w:multiLevelType w:val="hybridMultilevel"/>
    <w:tmpl w:val="7DEAFDA4"/>
    <w:lvl w:ilvl="0" w:tplc="6A06BE8E">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5CB68D7"/>
    <w:multiLevelType w:val="hybridMultilevel"/>
    <w:tmpl w:val="FC2A6950"/>
    <w:lvl w:ilvl="0" w:tplc="0407000F">
      <w:start w:val="1"/>
      <w:numFmt w:val="decimal"/>
      <w:lvlText w:val="%1."/>
      <w:lvlJc w:val="left"/>
      <w:pPr>
        <w:ind w:left="720" w:hanging="360"/>
      </w:pPr>
      <w:rPr>
        <w:rFonts w:hint="default"/>
      </w:rPr>
    </w:lvl>
    <w:lvl w:ilvl="1" w:tplc="354272CE">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9913DB3"/>
    <w:multiLevelType w:val="hybridMultilevel"/>
    <w:tmpl w:val="803E6664"/>
    <w:lvl w:ilvl="0" w:tplc="0407000F">
      <w:start w:val="1"/>
      <w:numFmt w:val="decimal"/>
      <w:lvlText w:val="%1."/>
      <w:lvlJc w:val="left"/>
      <w:pPr>
        <w:ind w:left="720" w:hanging="360"/>
      </w:pPr>
    </w:lvl>
    <w:lvl w:ilvl="1" w:tplc="7C6EFEB4">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9D84011"/>
    <w:multiLevelType w:val="hybridMultilevel"/>
    <w:tmpl w:val="13A88A0E"/>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B3A4EBF"/>
    <w:multiLevelType w:val="hybridMultilevel"/>
    <w:tmpl w:val="699E4D80"/>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ECA10E5"/>
    <w:multiLevelType w:val="hybridMultilevel"/>
    <w:tmpl w:val="A906D964"/>
    <w:lvl w:ilvl="0" w:tplc="C144F5C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0C7511F"/>
    <w:multiLevelType w:val="hybridMultilevel"/>
    <w:tmpl w:val="C1A69B26"/>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19939EB"/>
    <w:multiLevelType w:val="hybridMultilevel"/>
    <w:tmpl w:val="73FE4EA0"/>
    <w:lvl w:ilvl="0" w:tplc="BAA85D72">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3">
    <w:nsid w:val="72FC018E"/>
    <w:multiLevelType w:val="hybridMultilevel"/>
    <w:tmpl w:val="92FC41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311176D"/>
    <w:multiLevelType w:val="hybridMultilevel"/>
    <w:tmpl w:val="AD96C620"/>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AE32B8E"/>
    <w:multiLevelType w:val="hybridMultilevel"/>
    <w:tmpl w:val="2C04E950"/>
    <w:lvl w:ilvl="0" w:tplc="0407000F">
      <w:start w:val="1"/>
      <w:numFmt w:val="decimal"/>
      <w:lvlText w:val="%1."/>
      <w:lvlJc w:val="left"/>
      <w:pPr>
        <w:ind w:left="720" w:hanging="360"/>
      </w:pPr>
    </w:lvl>
    <w:lvl w:ilvl="1" w:tplc="E982B640">
      <w:start w:val="1"/>
      <w:numFmt w:val="decimal"/>
      <w:lvlText w:val="2.%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7B0D7984"/>
    <w:multiLevelType w:val="hybridMultilevel"/>
    <w:tmpl w:val="1AA0EB6E"/>
    <w:lvl w:ilvl="0" w:tplc="16949A8A">
      <w:start w:val="5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42"/>
  </w:num>
  <w:num w:numId="4">
    <w:abstractNumId w:val="21"/>
  </w:num>
  <w:num w:numId="5">
    <w:abstractNumId w:val="5"/>
  </w:num>
  <w:num w:numId="6">
    <w:abstractNumId w:val="1"/>
  </w:num>
  <w:num w:numId="7">
    <w:abstractNumId w:val="22"/>
  </w:num>
  <w:num w:numId="8">
    <w:abstractNumId w:val="40"/>
  </w:num>
  <w:num w:numId="9">
    <w:abstractNumId w:val="43"/>
  </w:num>
  <w:num w:numId="10">
    <w:abstractNumId w:val="16"/>
  </w:num>
  <w:num w:numId="11">
    <w:abstractNumId w:val="45"/>
  </w:num>
  <w:num w:numId="12">
    <w:abstractNumId w:val="25"/>
  </w:num>
  <w:num w:numId="13">
    <w:abstractNumId w:val="31"/>
  </w:num>
  <w:num w:numId="14">
    <w:abstractNumId w:val="10"/>
  </w:num>
  <w:num w:numId="15">
    <w:abstractNumId w:val="11"/>
  </w:num>
  <w:num w:numId="16">
    <w:abstractNumId w:val="36"/>
  </w:num>
  <w:num w:numId="17">
    <w:abstractNumId w:val="30"/>
  </w:num>
  <w:num w:numId="18">
    <w:abstractNumId w:val="20"/>
  </w:num>
  <w:num w:numId="19">
    <w:abstractNumId w:val="24"/>
  </w:num>
  <w:num w:numId="20">
    <w:abstractNumId w:val="29"/>
  </w:num>
  <w:num w:numId="21">
    <w:abstractNumId w:val="41"/>
  </w:num>
  <w:num w:numId="22">
    <w:abstractNumId w:val="44"/>
  </w:num>
  <w:num w:numId="23">
    <w:abstractNumId w:val="8"/>
  </w:num>
  <w:num w:numId="24">
    <w:abstractNumId w:val="0"/>
  </w:num>
  <w:num w:numId="25">
    <w:abstractNumId w:val="39"/>
  </w:num>
  <w:num w:numId="26">
    <w:abstractNumId w:val="27"/>
  </w:num>
  <w:num w:numId="27">
    <w:abstractNumId w:val="12"/>
  </w:num>
  <w:num w:numId="28">
    <w:abstractNumId w:val="4"/>
  </w:num>
  <w:num w:numId="29">
    <w:abstractNumId w:val="19"/>
  </w:num>
  <w:num w:numId="30">
    <w:abstractNumId w:val="26"/>
  </w:num>
  <w:num w:numId="31">
    <w:abstractNumId w:val="3"/>
  </w:num>
  <w:num w:numId="32">
    <w:abstractNumId w:val="35"/>
  </w:num>
  <w:num w:numId="33">
    <w:abstractNumId w:val="34"/>
  </w:num>
  <w:num w:numId="34">
    <w:abstractNumId w:val="9"/>
  </w:num>
  <w:num w:numId="35">
    <w:abstractNumId w:val="32"/>
  </w:num>
  <w:num w:numId="36">
    <w:abstractNumId w:val="7"/>
  </w:num>
  <w:num w:numId="37">
    <w:abstractNumId w:val="13"/>
  </w:num>
  <w:num w:numId="38">
    <w:abstractNumId w:val="17"/>
  </w:num>
  <w:num w:numId="39">
    <w:abstractNumId w:val="23"/>
  </w:num>
  <w:num w:numId="40">
    <w:abstractNumId w:val="33"/>
  </w:num>
  <w:num w:numId="41">
    <w:abstractNumId w:val="18"/>
  </w:num>
  <w:num w:numId="42">
    <w:abstractNumId w:val="37"/>
  </w:num>
  <w:num w:numId="43">
    <w:abstractNumId w:val="2"/>
  </w:num>
  <w:num w:numId="44">
    <w:abstractNumId w:val="38"/>
  </w:num>
  <w:num w:numId="45">
    <w:abstractNumId w:val="46"/>
  </w:num>
  <w:num w:numId="46">
    <w:abstractNumId w:val="6"/>
  </w:num>
  <w:num w:numId="47">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erre Kaufmann">
    <w15:presenceInfo w15:providerId="None" w15:userId="Pierre Kauf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AD"/>
    <w:rsid w:val="00017132"/>
    <w:rsid w:val="00021202"/>
    <w:rsid w:val="00052FE8"/>
    <w:rsid w:val="00060224"/>
    <w:rsid w:val="00060E26"/>
    <w:rsid w:val="000633BA"/>
    <w:rsid w:val="00075524"/>
    <w:rsid w:val="000777AD"/>
    <w:rsid w:val="00086D9C"/>
    <w:rsid w:val="000C63C7"/>
    <w:rsid w:val="000E0533"/>
    <w:rsid w:val="001042B7"/>
    <w:rsid w:val="001156F9"/>
    <w:rsid w:val="00134C01"/>
    <w:rsid w:val="00141D6D"/>
    <w:rsid w:val="0016482F"/>
    <w:rsid w:val="00166F23"/>
    <w:rsid w:val="0017379F"/>
    <w:rsid w:val="001C5750"/>
    <w:rsid w:val="001D39C0"/>
    <w:rsid w:val="001E0507"/>
    <w:rsid w:val="001E1797"/>
    <w:rsid w:val="001E3F1D"/>
    <w:rsid w:val="001F5808"/>
    <w:rsid w:val="001F6DB1"/>
    <w:rsid w:val="00201C88"/>
    <w:rsid w:val="00214C73"/>
    <w:rsid w:val="002344A2"/>
    <w:rsid w:val="002410FD"/>
    <w:rsid w:val="0024136B"/>
    <w:rsid w:val="00252FE4"/>
    <w:rsid w:val="00261675"/>
    <w:rsid w:val="00262E7E"/>
    <w:rsid w:val="00264D6D"/>
    <w:rsid w:val="00292CD3"/>
    <w:rsid w:val="002C6777"/>
    <w:rsid w:val="002E09F2"/>
    <w:rsid w:val="002E1519"/>
    <w:rsid w:val="002E45AB"/>
    <w:rsid w:val="002F23A4"/>
    <w:rsid w:val="002F36AF"/>
    <w:rsid w:val="003070D7"/>
    <w:rsid w:val="003130F7"/>
    <w:rsid w:val="003167AF"/>
    <w:rsid w:val="0032036B"/>
    <w:rsid w:val="003357D2"/>
    <w:rsid w:val="0033640E"/>
    <w:rsid w:val="00337818"/>
    <w:rsid w:val="003455A0"/>
    <w:rsid w:val="003838B6"/>
    <w:rsid w:val="003A0680"/>
    <w:rsid w:val="003B7AC6"/>
    <w:rsid w:val="003C2BE8"/>
    <w:rsid w:val="003C4656"/>
    <w:rsid w:val="00451F8E"/>
    <w:rsid w:val="00454CA4"/>
    <w:rsid w:val="00476BBC"/>
    <w:rsid w:val="004805AE"/>
    <w:rsid w:val="0049072D"/>
    <w:rsid w:val="004945D8"/>
    <w:rsid w:val="004A12A2"/>
    <w:rsid w:val="004A6862"/>
    <w:rsid w:val="004A7E7E"/>
    <w:rsid w:val="004B65BB"/>
    <w:rsid w:val="004B7080"/>
    <w:rsid w:val="004E74B7"/>
    <w:rsid w:val="004F3BCB"/>
    <w:rsid w:val="00500D3B"/>
    <w:rsid w:val="00506940"/>
    <w:rsid w:val="00527B4C"/>
    <w:rsid w:val="00542F02"/>
    <w:rsid w:val="00552F0C"/>
    <w:rsid w:val="0056012D"/>
    <w:rsid w:val="0056232C"/>
    <w:rsid w:val="00563E98"/>
    <w:rsid w:val="00565CB1"/>
    <w:rsid w:val="00572969"/>
    <w:rsid w:val="005773C5"/>
    <w:rsid w:val="00585899"/>
    <w:rsid w:val="00591F02"/>
    <w:rsid w:val="00595B09"/>
    <w:rsid w:val="00597483"/>
    <w:rsid w:val="005B05AB"/>
    <w:rsid w:val="005B3C17"/>
    <w:rsid w:val="005B659F"/>
    <w:rsid w:val="005C687C"/>
    <w:rsid w:val="005D025B"/>
    <w:rsid w:val="00612F3C"/>
    <w:rsid w:val="00617A98"/>
    <w:rsid w:val="00624064"/>
    <w:rsid w:val="006465C2"/>
    <w:rsid w:val="00650EDD"/>
    <w:rsid w:val="0065362B"/>
    <w:rsid w:val="00692F51"/>
    <w:rsid w:val="00693302"/>
    <w:rsid w:val="006A5EFB"/>
    <w:rsid w:val="006C7C9D"/>
    <w:rsid w:val="006E09CB"/>
    <w:rsid w:val="006F1B35"/>
    <w:rsid w:val="00726D39"/>
    <w:rsid w:val="0073395C"/>
    <w:rsid w:val="00745CFC"/>
    <w:rsid w:val="007472EE"/>
    <w:rsid w:val="00752BE1"/>
    <w:rsid w:val="0075376B"/>
    <w:rsid w:val="007628C9"/>
    <w:rsid w:val="0077607A"/>
    <w:rsid w:val="00794B76"/>
    <w:rsid w:val="007A5EAF"/>
    <w:rsid w:val="007A6A35"/>
    <w:rsid w:val="007D1A96"/>
    <w:rsid w:val="007D6A26"/>
    <w:rsid w:val="008138B5"/>
    <w:rsid w:val="0084589C"/>
    <w:rsid w:val="00860194"/>
    <w:rsid w:val="008618B9"/>
    <w:rsid w:val="008640CD"/>
    <w:rsid w:val="008731CE"/>
    <w:rsid w:val="00881F8B"/>
    <w:rsid w:val="00882040"/>
    <w:rsid w:val="0089122C"/>
    <w:rsid w:val="008B70A3"/>
    <w:rsid w:val="008C13D1"/>
    <w:rsid w:val="008E5828"/>
    <w:rsid w:val="0091362F"/>
    <w:rsid w:val="0096504D"/>
    <w:rsid w:val="009665AB"/>
    <w:rsid w:val="00990C42"/>
    <w:rsid w:val="00992CD9"/>
    <w:rsid w:val="009A47E7"/>
    <w:rsid w:val="009C291E"/>
    <w:rsid w:val="009D5FB8"/>
    <w:rsid w:val="009E7014"/>
    <w:rsid w:val="00A15C78"/>
    <w:rsid w:val="00A25317"/>
    <w:rsid w:val="00A43638"/>
    <w:rsid w:val="00A607B7"/>
    <w:rsid w:val="00A766EC"/>
    <w:rsid w:val="00A95161"/>
    <w:rsid w:val="00AA19EB"/>
    <w:rsid w:val="00AA22BD"/>
    <w:rsid w:val="00AB4852"/>
    <w:rsid w:val="00AC1D0D"/>
    <w:rsid w:val="00AC6524"/>
    <w:rsid w:val="00AD4530"/>
    <w:rsid w:val="00AD53A7"/>
    <w:rsid w:val="00AD5E51"/>
    <w:rsid w:val="00B0441B"/>
    <w:rsid w:val="00B14870"/>
    <w:rsid w:val="00B233C7"/>
    <w:rsid w:val="00B378C9"/>
    <w:rsid w:val="00B52E6C"/>
    <w:rsid w:val="00B560EE"/>
    <w:rsid w:val="00B673F4"/>
    <w:rsid w:val="00B708F7"/>
    <w:rsid w:val="00B71BCA"/>
    <w:rsid w:val="00B84588"/>
    <w:rsid w:val="00BA7C09"/>
    <w:rsid w:val="00BD1C28"/>
    <w:rsid w:val="00C27BB8"/>
    <w:rsid w:val="00C55D2B"/>
    <w:rsid w:val="00C5624F"/>
    <w:rsid w:val="00C919D0"/>
    <w:rsid w:val="00CA076C"/>
    <w:rsid w:val="00CA1D14"/>
    <w:rsid w:val="00CB42B6"/>
    <w:rsid w:val="00CB4359"/>
    <w:rsid w:val="00CB45E6"/>
    <w:rsid w:val="00CC10BA"/>
    <w:rsid w:val="00CC5AB6"/>
    <w:rsid w:val="00CE49E3"/>
    <w:rsid w:val="00D07789"/>
    <w:rsid w:val="00D2731D"/>
    <w:rsid w:val="00D32A7D"/>
    <w:rsid w:val="00D478EF"/>
    <w:rsid w:val="00D80718"/>
    <w:rsid w:val="00D938D5"/>
    <w:rsid w:val="00DA2B23"/>
    <w:rsid w:val="00DB3BEF"/>
    <w:rsid w:val="00DB58EA"/>
    <w:rsid w:val="00DF2E05"/>
    <w:rsid w:val="00DF2E2F"/>
    <w:rsid w:val="00E10635"/>
    <w:rsid w:val="00E150DB"/>
    <w:rsid w:val="00E259A7"/>
    <w:rsid w:val="00E44AC3"/>
    <w:rsid w:val="00E5793B"/>
    <w:rsid w:val="00E7679E"/>
    <w:rsid w:val="00EC186E"/>
    <w:rsid w:val="00EC6A40"/>
    <w:rsid w:val="00ED33A2"/>
    <w:rsid w:val="00EE2B0D"/>
    <w:rsid w:val="00EF3209"/>
    <w:rsid w:val="00F01225"/>
    <w:rsid w:val="00F04BA6"/>
    <w:rsid w:val="00F0719F"/>
    <w:rsid w:val="00F142F8"/>
    <w:rsid w:val="00F3369E"/>
    <w:rsid w:val="00F37676"/>
    <w:rsid w:val="00F50872"/>
    <w:rsid w:val="00F61F76"/>
    <w:rsid w:val="00F65CFF"/>
    <w:rsid w:val="00F65E74"/>
    <w:rsid w:val="00F74306"/>
    <w:rsid w:val="00F76C50"/>
    <w:rsid w:val="00F80F9D"/>
    <w:rsid w:val="00F863D3"/>
    <w:rsid w:val="00FA468A"/>
    <w:rsid w:val="00FD56B2"/>
    <w:rsid w:val="00FE60B2"/>
    <w:rsid w:val="00FE6E50"/>
    <w:rsid w:val="00FF42B0"/>
    <w:rsid w:val="00FF58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7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73C5"/>
    <w:pPr>
      <w:jc w:val="both"/>
    </w:pPr>
  </w:style>
  <w:style w:type="paragraph" w:styleId="berschrift1">
    <w:name w:val="heading 1"/>
    <w:basedOn w:val="Standard"/>
    <w:next w:val="Standard"/>
    <w:link w:val="berschrift1Zchn"/>
    <w:uiPriority w:val="9"/>
    <w:qFormat/>
    <w:rsid w:val="00017132"/>
    <w:pPr>
      <w:keepNext/>
      <w:keepLines/>
      <w:numPr>
        <w:numId w:val="29"/>
      </w:numPr>
      <w:spacing w:before="240" w:after="0"/>
      <w:jc w:val="left"/>
      <w:outlineLvl w:val="0"/>
    </w:pPr>
    <w:rPr>
      <w:rFonts w:asciiTheme="majorHAnsi" w:eastAsiaTheme="majorEastAsia" w:hAnsiTheme="majorHAnsi" w:cstheme="majorBidi"/>
      <w:b/>
      <w:color w:val="365F91" w:themeColor="accent1" w:themeShade="BF"/>
      <w:sz w:val="32"/>
      <w:szCs w:val="32"/>
    </w:rPr>
  </w:style>
  <w:style w:type="paragraph" w:styleId="berschrift2">
    <w:name w:val="heading 2"/>
    <w:basedOn w:val="Standard"/>
    <w:next w:val="Standard"/>
    <w:link w:val="berschrift2Zchn"/>
    <w:uiPriority w:val="9"/>
    <w:unhideWhenUsed/>
    <w:qFormat/>
    <w:rsid w:val="00017132"/>
    <w:pPr>
      <w:keepNext/>
      <w:keepLines/>
      <w:numPr>
        <w:ilvl w:val="1"/>
        <w:numId w:val="29"/>
      </w:numPr>
      <w:spacing w:before="40" w:after="0"/>
      <w:jc w:val="left"/>
      <w:outlineLvl w:val="1"/>
    </w:pPr>
    <w:rPr>
      <w:rFonts w:asciiTheme="majorHAnsi" w:eastAsiaTheme="majorEastAsia" w:hAnsiTheme="majorHAnsi" w:cstheme="majorBidi"/>
      <w:b/>
      <w:color w:val="365F91" w:themeColor="accent1" w:themeShade="BF"/>
      <w:sz w:val="28"/>
      <w:szCs w:val="26"/>
    </w:rPr>
  </w:style>
  <w:style w:type="paragraph" w:styleId="berschrift3">
    <w:name w:val="heading 3"/>
    <w:basedOn w:val="Standard"/>
    <w:next w:val="Standard"/>
    <w:link w:val="berschrift3Zchn"/>
    <w:uiPriority w:val="9"/>
    <w:unhideWhenUsed/>
    <w:qFormat/>
    <w:rsid w:val="00017132"/>
    <w:pPr>
      <w:keepNext/>
      <w:keepLines/>
      <w:numPr>
        <w:ilvl w:val="2"/>
        <w:numId w:val="29"/>
      </w:numPr>
      <w:spacing w:before="40" w:after="0"/>
      <w:jc w:val="left"/>
      <w:outlineLvl w:val="2"/>
    </w:pPr>
    <w:rPr>
      <w:rFonts w:asciiTheme="majorHAnsi" w:eastAsiaTheme="majorEastAsia" w:hAnsiTheme="majorHAnsi" w:cstheme="majorBidi"/>
      <w:b/>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FD56B2"/>
    <w:pPr>
      <w:keepNext/>
      <w:keepLines/>
      <w:numPr>
        <w:ilvl w:val="3"/>
        <w:numId w:val="29"/>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D56B2"/>
    <w:pPr>
      <w:keepNext/>
      <w:keepLines/>
      <w:numPr>
        <w:ilvl w:val="4"/>
        <w:numId w:val="29"/>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D56B2"/>
    <w:pPr>
      <w:keepNext/>
      <w:keepLines/>
      <w:numPr>
        <w:ilvl w:val="5"/>
        <w:numId w:val="29"/>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D56B2"/>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D56B2"/>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D56B2"/>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17132"/>
    <w:rPr>
      <w:rFonts w:asciiTheme="majorHAnsi" w:eastAsiaTheme="majorEastAsia" w:hAnsiTheme="majorHAnsi" w:cstheme="majorBidi"/>
      <w:b/>
      <w:color w:val="365F91" w:themeColor="accent1" w:themeShade="BF"/>
      <w:sz w:val="32"/>
      <w:szCs w:val="32"/>
    </w:rPr>
  </w:style>
  <w:style w:type="paragraph" w:styleId="Listenabsatz">
    <w:name w:val="List Paragraph"/>
    <w:aliases w:val="Nummerierung,Listenabsatz1"/>
    <w:basedOn w:val="Standard"/>
    <w:link w:val="ListenabsatzZchn"/>
    <w:uiPriority w:val="34"/>
    <w:qFormat/>
    <w:rsid w:val="000777AD"/>
    <w:pPr>
      <w:ind w:left="720"/>
      <w:contextualSpacing/>
    </w:pPr>
  </w:style>
  <w:style w:type="character" w:customStyle="1" w:styleId="berschrift2Zchn">
    <w:name w:val="Überschrift 2 Zchn"/>
    <w:basedOn w:val="Absatz-Standardschriftart"/>
    <w:link w:val="berschrift2"/>
    <w:uiPriority w:val="9"/>
    <w:rsid w:val="00017132"/>
    <w:rPr>
      <w:rFonts w:asciiTheme="majorHAnsi" w:eastAsiaTheme="majorEastAsia" w:hAnsiTheme="majorHAnsi" w:cstheme="majorBidi"/>
      <w:b/>
      <w:color w:val="365F91" w:themeColor="accent1" w:themeShade="BF"/>
      <w:sz w:val="28"/>
      <w:szCs w:val="26"/>
    </w:rPr>
  </w:style>
  <w:style w:type="paragraph" w:styleId="Funotentext">
    <w:name w:val="footnote text"/>
    <w:aliases w:val="MWV-Fußnotentext"/>
    <w:basedOn w:val="Standard"/>
    <w:link w:val="FunotentextZchn"/>
    <w:uiPriority w:val="99"/>
    <w:unhideWhenUsed/>
    <w:rsid w:val="001E0507"/>
    <w:pPr>
      <w:spacing w:after="0" w:line="240" w:lineRule="auto"/>
    </w:pPr>
    <w:rPr>
      <w:sz w:val="20"/>
      <w:szCs w:val="20"/>
    </w:rPr>
  </w:style>
  <w:style w:type="character" w:customStyle="1" w:styleId="FunotentextZchn">
    <w:name w:val="Fußnotentext Zchn"/>
    <w:aliases w:val="MWV-Fußnotentext Zchn"/>
    <w:basedOn w:val="Absatz-Standardschriftart"/>
    <w:link w:val="Funotentext"/>
    <w:uiPriority w:val="99"/>
    <w:rsid w:val="001E0507"/>
    <w:rPr>
      <w:sz w:val="20"/>
      <w:szCs w:val="20"/>
    </w:rPr>
  </w:style>
  <w:style w:type="character" w:styleId="Funotenzeichen">
    <w:name w:val="footnote reference"/>
    <w:basedOn w:val="Absatz-Standardschriftart"/>
    <w:uiPriority w:val="99"/>
    <w:unhideWhenUsed/>
    <w:rsid w:val="003838B6"/>
    <w:rPr>
      <w:vertAlign w:val="superscript"/>
    </w:rPr>
  </w:style>
  <w:style w:type="character" w:styleId="Hyperlink">
    <w:name w:val="Hyperlink"/>
    <w:basedOn w:val="Absatz-Standardschriftart"/>
    <w:uiPriority w:val="99"/>
    <w:unhideWhenUsed/>
    <w:rsid w:val="003838B6"/>
    <w:rPr>
      <w:color w:val="0000FF" w:themeColor="hyperlink"/>
      <w:u w:val="single"/>
    </w:rPr>
  </w:style>
  <w:style w:type="character" w:styleId="Kommentarzeichen">
    <w:name w:val="annotation reference"/>
    <w:basedOn w:val="Absatz-Standardschriftart"/>
    <w:uiPriority w:val="99"/>
    <w:semiHidden/>
    <w:unhideWhenUsed/>
    <w:rsid w:val="003838B6"/>
    <w:rPr>
      <w:sz w:val="16"/>
      <w:szCs w:val="16"/>
    </w:rPr>
  </w:style>
  <w:style w:type="paragraph" w:styleId="Kommentartext">
    <w:name w:val="annotation text"/>
    <w:basedOn w:val="Standard"/>
    <w:link w:val="KommentartextZchn"/>
    <w:uiPriority w:val="99"/>
    <w:semiHidden/>
    <w:unhideWhenUsed/>
    <w:rsid w:val="003838B6"/>
    <w:pPr>
      <w:spacing w:before="40" w:after="80" w:line="240" w:lineRule="auto"/>
    </w:pPr>
    <w:rPr>
      <w:sz w:val="20"/>
      <w:szCs w:val="20"/>
    </w:rPr>
  </w:style>
  <w:style w:type="character" w:customStyle="1" w:styleId="KommentartextZchn">
    <w:name w:val="Kommentartext Zchn"/>
    <w:basedOn w:val="Absatz-Standardschriftart"/>
    <w:link w:val="Kommentartext"/>
    <w:uiPriority w:val="99"/>
    <w:semiHidden/>
    <w:rsid w:val="003838B6"/>
    <w:rPr>
      <w:sz w:val="20"/>
      <w:szCs w:val="20"/>
    </w:rPr>
  </w:style>
  <w:style w:type="paragraph" w:styleId="Sprechblasentext">
    <w:name w:val="Balloon Text"/>
    <w:basedOn w:val="Standard"/>
    <w:link w:val="SprechblasentextZchn"/>
    <w:uiPriority w:val="99"/>
    <w:semiHidden/>
    <w:unhideWhenUsed/>
    <w:rsid w:val="003838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38B6"/>
    <w:rPr>
      <w:rFonts w:ascii="Segoe UI" w:hAnsi="Segoe UI" w:cs="Segoe UI"/>
      <w:sz w:val="18"/>
      <w:szCs w:val="18"/>
    </w:rPr>
  </w:style>
  <w:style w:type="character" w:customStyle="1" w:styleId="ListenabsatzZchn">
    <w:name w:val="Listenabsatz Zchn"/>
    <w:aliases w:val="Nummerierung Zchn,Listenabsatz1 Zchn"/>
    <w:basedOn w:val="Absatz-Standardschriftart"/>
    <w:link w:val="Listenabsatz"/>
    <w:uiPriority w:val="34"/>
    <w:rsid w:val="003838B6"/>
  </w:style>
  <w:style w:type="character" w:customStyle="1" w:styleId="berschrift3Zchn">
    <w:name w:val="Überschrift 3 Zchn"/>
    <w:basedOn w:val="Absatz-Standardschriftart"/>
    <w:link w:val="berschrift3"/>
    <w:uiPriority w:val="9"/>
    <w:rsid w:val="00017132"/>
    <w:rPr>
      <w:rFonts w:asciiTheme="majorHAnsi" w:eastAsiaTheme="majorEastAsia" w:hAnsiTheme="majorHAnsi" w:cstheme="majorBidi"/>
      <w:b/>
      <w:color w:val="243F60" w:themeColor="accent1" w:themeShade="7F"/>
      <w:sz w:val="24"/>
      <w:szCs w:val="24"/>
    </w:rPr>
  </w:style>
  <w:style w:type="character" w:styleId="Platzhaltertext">
    <w:name w:val="Placeholder Text"/>
    <w:basedOn w:val="Absatz-Standardschriftart"/>
    <w:uiPriority w:val="99"/>
    <w:semiHidden/>
    <w:rsid w:val="001F6DB1"/>
    <w:rPr>
      <w:color w:val="808080"/>
    </w:rPr>
  </w:style>
  <w:style w:type="table" w:styleId="Tabellenraster">
    <w:name w:val="Table Grid"/>
    <w:basedOn w:val="NormaleTabelle"/>
    <w:uiPriority w:val="59"/>
    <w:unhideWhenUsed/>
    <w:rsid w:val="0088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563E98"/>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63E98"/>
    <w:rPr>
      <w:rFonts w:asciiTheme="majorHAnsi" w:eastAsiaTheme="majorEastAsia" w:hAnsiTheme="majorHAnsi" w:cstheme="majorBidi"/>
      <w:color w:val="17365D" w:themeColor="text2" w:themeShade="BF"/>
      <w:spacing w:val="5"/>
      <w:kern w:val="28"/>
      <w:sz w:val="52"/>
      <w:szCs w:val="52"/>
    </w:rPr>
  </w:style>
  <w:style w:type="paragraph" w:styleId="Verzeichnis1">
    <w:name w:val="toc 1"/>
    <w:basedOn w:val="Standard"/>
    <w:next w:val="Standard"/>
    <w:autoRedefine/>
    <w:uiPriority w:val="39"/>
    <w:unhideWhenUsed/>
    <w:rsid w:val="00D2731D"/>
    <w:pPr>
      <w:spacing w:before="120" w:after="0"/>
      <w:jc w:val="left"/>
    </w:pPr>
    <w:rPr>
      <w:b/>
      <w:bCs/>
      <w:iCs/>
      <w:sz w:val="24"/>
      <w:szCs w:val="24"/>
    </w:rPr>
  </w:style>
  <w:style w:type="paragraph" w:styleId="Verzeichnis2">
    <w:name w:val="toc 2"/>
    <w:basedOn w:val="Standard"/>
    <w:next w:val="Standard"/>
    <w:autoRedefine/>
    <w:uiPriority w:val="39"/>
    <w:unhideWhenUsed/>
    <w:rsid w:val="00D2731D"/>
    <w:pPr>
      <w:spacing w:before="120" w:after="0"/>
      <w:ind w:left="220"/>
      <w:jc w:val="left"/>
    </w:pPr>
    <w:rPr>
      <w:b/>
      <w:bCs/>
    </w:rPr>
  </w:style>
  <w:style w:type="paragraph" w:styleId="Verzeichnis3">
    <w:name w:val="toc 3"/>
    <w:basedOn w:val="Standard"/>
    <w:next w:val="Standard"/>
    <w:autoRedefine/>
    <w:uiPriority w:val="39"/>
    <w:unhideWhenUsed/>
    <w:rsid w:val="00D2731D"/>
    <w:pPr>
      <w:spacing w:after="0"/>
      <w:ind w:left="440"/>
      <w:jc w:val="left"/>
    </w:pPr>
    <w:rPr>
      <w:sz w:val="20"/>
      <w:szCs w:val="20"/>
    </w:rPr>
  </w:style>
  <w:style w:type="paragraph" w:styleId="Verzeichnis4">
    <w:name w:val="toc 4"/>
    <w:basedOn w:val="Standard"/>
    <w:next w:val="Standard"/>
    <w:autoRedefine/>
    <w:uiPriority w:val="39"/>
    <w:unhideWhenUsed/>
    <w:rsid w:val="00D2731D"/>
    <w:pPr>
      <w:spacing w:after="0"/>
      <w:ind w:left="660"/>
      <w:jc w:val="left"/>
    </w:pPr>
    <w:rPr>
      <w:sz w:val="20"/>
      <w:szCs w:val="20"/>
    </w:rPr>
  </w:style>
  <w:style w:type="paragraph" w:styleId="Verzeichnis5">
    <w:name w:val="toc 5"/>
    <w:basedOn w:val="Standard"/>
    <w:next w:val="Standard"/>
    <w:autoRedefine/>
    <w:uiPriority w:val="39"/>
    <w:unhideWhenUsed/>
    <w:rsid w:val="00D2731D"/>
    <w:pPr>
      <w:spacing w:after="0"/>
      <w:ind w:left="880"/>
      <w:jc w:val="left"/>
    </w:pPr>
    <w:rPr>
      <w:sz w:val="20"/>
      <w:szCs w:val="20"/>
    </w:rPr>
  </w:style>
  <w:style w:type="paragraph" w:styleId="Verzeichnis6">
    <w:name w:val="toc 6"/>
    <w:basedOn w:val="Standard"/>
    <w:next w:val="Standard"/>
    <w:autoRedefine/>
    <w:uiPriority w:val="39"/>
    <w:unhideWhenUsed/>
    <w:rsid w:val="00D2731D"/>
    <w:pPr>
      <w:spacing w:after="0"/>
      <w:ind w:left="1100"/>
      <w:jc w:val="left"/>
    </w:pPr>
    <w:rPr>
      <w:sz w:val="20"/>
      <w:szCs w:val="20"/>
    </w:rPr>
  </w:style>
  <w:style w:type="paragraph" w:styleId="Verzeichnis7">
    <w:name w:val="toc 7"/>
    <w:basedOn w:val="Standard"/>
    <w:next w:val="Standard"/>
    <w:autoRedefine/>
    <w:uiPriority w:val="39"/>
    <w:unhideWhenUsed/>
    <w:rsid w:val="00D2731D"/>
    <w:pPr>
      <w:spacing w:after="0"/>
      <w:ind w:left="1320"/>
      <w:jc w:val="left"/>
    </w:pPr>
    <w:rPr>
      <w:sz w:val="20"/>
      <w:szCs w:val="20"/>
    </w:rPr>
  </w:style>
  <w:style w:type="paragraph" w:styleId="Verzeichnis8">
    <w:name w:val="toc 8"/>
    <w:basedOn w:val="Standard"/>
    <w:next w:val="Standard"/>
    <w:autoRedefine/>
    <w:uiPriority w:val="39"/>
    <w:unhideWhenUsed/>
    <w:rsid w:val="00D2731D"/>
    <w:pPr>
      <w:spacing w:after="0"/>
      <w:ind w:left="1540"/>
      <w:jc w:val="left"/>
    </w:pPr>
    <w:rPr>
      <w:sz w:val="20"/>
      <w:szCs w:val="20"/>
    </w:rPr>
  </w:style>
  <w:style w:type="paragraph" w:styleId="Verzeichnis9">
    <w:name w:val="toc 9"/>
    <w:basedOn w:val="Standard"/>
    <w:next w:val="Standard"/>
    <w:autoRedefine/>
    <w:uiPriority w:val="39"/>
    <w:unhideWhenUsed/>
    <w:rsid w:val="00D2731D"/>
    <w:pPr>
      <w:spacing w:after="0"/>
      <w:ind w:left="1760"/>
      <w:jc w:val="left"/>
    </w:pPr>
    <w:rPr>
      <w:sz w:val="20"/>
      <w:szCs w:val="20"/>
    </w:rPr>
  </w:style>
  <w:style w:type="paragraph" w:styleId="Kopfzeile">
    <w:name w:val="header"/>
    <w:basedOn w:val="Standard"/>
    <w:link w:val="KopfzeileZchn"/>
    <w:uiPriority w:val="99"/>
    <w:unhideWhenUsed/>
    <w:rsid w:val="00D273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31D"/>
  </w:style>
  <w:style w:type="paragraph" w:styleId="Fuzeile">
    <w:name w:val="footer"/>
    <w:basedOn w:val="Standard"/>
    <w:link w:val="FuzeileZchn"/>
    <w:uiPriority w:val="99"/>
    <w:unhideWhenUsed/>
    <w:rsid w:val="00D273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31D"/>
  </w:style>
  <w:style w:type="character" w:customStyle="1" w:styleId="berschrift4Zchn">
    <w:name w:val="Überschrift 4 Zchn"/>
    <w:basedOn w:val="Absatz-Standardschriftart"/>
    <w:link w:val="berschrift4"/>
    <w:uiPriority w:val="9"/>
    <w:semiHidden/>
    <w:rsid w:val="00FD56B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D56B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D56B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D56B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D56B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D56B2"/>
    <w:rPr>
      <w:rFonts w:asciiTheme="majorHAnsi" w:eastAsiaTheme="majorEastAsia" w:hAnsiTheme="majorHAnsi" w:cstheme="majorBidi"/>
      <w:i/>
      <w:iCs/>
      <w:color w:val="404040" w:themeColor="text1" w:themeTint="BF"/>
      <w:sz w:val="20"/>
      <w:szCs w:val="20"/>
    </w:rPr>
  </w:style>
  <w:style w:type="paragraph" w:styleId="Kommentarthema">
    <w:name w:val="annotation subject"/>
    <w:basedOn w:val="Kommentartext"/>
    <w:next w:val="Kommentartext"/>
    <w:link w:val="KommentarthemaZchn"/>
    <w:uiPriority w:val="99"/>
    <w:semiHidden/>
    <w:unhideWhenUsed/>
    <w:rsid w:val="00692F51"/>
    <w:pPr>
      <w:spacing w:before="0" w:after="200"/>
    </w:pPr>
    <w:rPr>
      <w:b/>
      <w:bCs/>
    </w:rPr>
  </w:style>
  <w:style w:type="character" w:customStyle="1" w:styleId="KommentarthemaZchn">
    <w:name w:val="Kommentarthema Zchn"/>
    <w:basedOn w:val="KommentartextZchn"/>
    <w:link w:val="Kommentarthema"/>
    <w:uiPriority w:val="99"/>
    <w:semiHidden/>
    <w:rsid w:val="00692F51"/>
    <w:rPr>
      <w:b/>
      <w:bCs/>
      <w:sz w:val="20"/>
      <w:szCs w:val="20"/>
    </w:rPr>
  </w:style>
  <w:style w:type="paragraph" w:styleId="berarbeitung">
    <w:name w:val="Revision"/>
    <w:hidden/>
    <w:uiPriority w:val="99"/>
    <w:semiHidden/>
    <w:rsid w:val="00BA7C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73C5"/>
    <w:pPr>
      <w:jc w:val="both"/>
    </w:pPr>
  </w:style>
  <w:style w:type="paragraph" w:styleId="berschrift1">
    <w:name w:val="heading 1"/>
    <w:basedOn w:val="Standard"/>
    <w:next w:val="Standard"/>
    <w:link w:val="berschrift1Zchn"/>
    <w:uiPriority w:val="9"/>
    <w:qFormat/>
    <w:rsid w:val="00017132"/>
    <w:pPr>
      <w:keepNext/>
      <w:keepLines/>
      <w:numPr>
        <w:numId w:val="29"/>
      </w:numPr>
      <w:spacing w:before="240" w:after="0"/>
      <w:jc w:val="left"/>
      <w:outlineLvl w:val="0"/>
    </w:pPr>
    <w:rPr>
      <w:rFonts w:asciiTheme="majorHAnsi" w:eastAsiaTheme="majorEastAsia" w:hAnsiTheme="majorHAnsi" w:cstheme="majorBidi"/>
      <w:b/>
      <w:color w:val="365F91" w:themeColor="accent1" w:themeShade="BF"/>
      <w:sz w:val="32"/>
      <w:szCs w:val="32"/>
    </w:rPr>
  </w:style>
  <w:style w:type="paragraph" w:styleId="berschrift2">
    <w:name w:val="heading 2"/>
    <w:basedOn w:val="Standard"/>
    <w:next w:val="Standard"/>
    <w:link w:val="berschrift2Zchn"/>
    <w:uiPriority w:val="9"/>
    <w:unhideWhenUsed/>
    <w:qFormat/>
    <w:rsid w:val="00017132"/>
    <w:pPr>
      <w:keepNext/>
      <w:keepLines/>
      <w:numPr>
        <w:ilvl w:val="1"/>
        <w:numId w:val="29"/>
      </w:numPr>
      <w:spacing w:before="40" w:after="0"/>
      <w:jc w:val="left"/>
      <w:outlineLvl w:val="1"/>
    </w:pPr>
    <w:rPr>
      <w:rFonts w:asciiTheme="majorHAnsi" w:eastAsiaTheme="majorEastAsia" w:hAnsiTheme="majorHAnsi" w:cstheme="majorBidi"/>
      <w:b/>
      <w:color w:val="365F91" w:themeColor="accent1" w:themeShade="BF"/>
      <w:sz w:val="28"/>
      <w:szCs w:val="26"/>
    </w:rPr>
  </w:style>
  <w:style w:type="paragraph" w:styleId="berschrift3">
    <w:name w:val="heading 3"/>
    <w:basedOn w:val="Standard"/>
    <w:next w:val="Standard"/>
    <w:link w:val="berschrift3Zchn"/>
    <w:uiPriority w:val="9"/>
    <w:unhideWhenUsed/>
    <w:qFormat/>
    <w:rsid w:val="00017132"/>
    <w:pPr>
      <w:keepNext/>
      <w:keepLines/>
      <w:numPr>
        <w:ilvl w:val="2"/>
        <w:numId w:val="29"/>
      </w:numPr>
      <w:spacing w:before="40" w:after="0"/>
      <w:jc w:val="left"/>
      <w:outlineLvl w:val="2"/>
    </w:pPr>
    <w:rPr>
      <w:rFonts w:asciiTheme="majorHAnsi" w:eastAsiaTheme="majorEastAsia" w:hAnsiTheme="majorHAnsi" w:cstheme="majorBidi"/>
      <w:b/>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FD56B2"/>
    <w:pPr>
      <w:keepNext/>
      <w:keepLines/>
      <w:numPr>
        <w:ilvl w:val="3"/>
        <w:numId w:val="29"/>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D56B2"/>
    <w:pPr>
      <w:keepNext/>
      <w:keepLines/>
      <w:numPr>
        <w:ilvl w:val="4"/>
        <w:numId w:val="29"/>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D56B2"/>
    <w:pPr>
      <w:keepNext/>
      <w:keepLines/>
      <w:numPr>
        <w:ilvl w:val="5"/>
        <w:numId w:val="29"/>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D56B2"/>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D56B2"/>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D56B2"/>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17132"/>
    <w:rPr>
      <w:rFonts w:asciiTheme="majorHAnsi" w:eastAsiaTheme="majorEastAsia" w:hAnsiTheme="majorHAnsi" w:cstheme="majorBidi"/>
      <w:b/>
      <w:color w:val="365F91" w:themeColor="accent1" w:themeShade="BF"/>
      <w:sz w:val="32"/>
      <w:szCs w:val="32"/>
    </w:rPr>
  </w:style>
  <w:style w:type="paragraph" w:styleId="Listenabsatz">
    <w:name w:val="List Paragraph"/>
    <w:aliases w:val="Nummerierung,Listenabsatz1"/>
    <w:basedOn w:val="Standard"/>
    <w:link w:val="ListenabsatzZchn"/>
    <w:uiPriority w:val="34"/>
    <w:qFormat/>
    <w:rsid w:val="000777AD"/>
    <w:pPr>
      <w:ind w:left="720"/>
      <w:contextualSpacing/>
    </w:pPr>
  </w:style>
  <w:style w:type="character" w:customStyle="1" w:styleId="berschrift2Zchn">
    <w:name w:val="Überschrift 2 Zchn"/>
    <w:basedOn w:val="Absatz-Standardschriftart"/>
    <w:link w:val="berschrift2"/>
    <w:uiPriority w:val="9"/>
    <w:rsid w:val="00017132"/>
    <w:rPr>
      <w:rFonts w:asciiTheme="majorHAnsi" w:eastAsiaTheme="majorEastAsia" w:hAnsiTheme="majorHAnsi" w:cstheme="majorBidi"/>
      <w:b/>
      <w:color w:val="365F91" w:themeColor="accent1" w:themeShade="BF"/>
      <w:sz w:val="28"/>
      <w:szCs w:val="26"/>
    </w:rPr>
  </w:style>
  <w:style w:type="paragraph" w:styleId="Funotentext">
    <w:name w:val="footnote text"/>
    <w:aliases w:val="MWV-Fußnotentext"/>
    <w:basedOn w:val="Standard"/>
    <w:link w:val="FunotentextZchn"/>
    <w:uiPriority w:val="99"/>
    <w:unhideWhenUsed/>
    <w:rsid w:val="001E0507"/>
    <w:pPr>
      <w:spacing w:after="0" w:line="240" w:lineRule="auto"/>
    </w:pPr>
    <w:rPr>
      <w:sz w:val="20"/>
      <w:szCs w:val="20"/>
    </w:rPr>
  </w:style>
  <w:style w:type="character" w:customStyle="1" w:styleId="FunotentextZchn">
    <w:name w:val="Fußnotentext Zchn"/>
    <w:aliases w:val="MWV-Fußnotentext Zchn"/>
    <w:basedOn w:val="Absatz-Standardschriftart"/>
    <w:link w:val="Funotentext"/>
    <w:uiPriority w:val="99"/>
    <w:rsid w:val="001E0507"/>
    <w:rPr>
      <w:sz w:val="20"/>
      <w:szCs w:val="20"/>
    </w:rPr>
  </w:style>
  <w:style w:type="character" w:styleId="Funotenzeichen">
    <w:name w:val="footnote reference"/>
    <w:basedOn w:val="Absatz-Standardschriftart"/>
    <w:uiPriority w:val="99"/>
    <w:unhideWhenUsed/>
    <w:rsid w:val="003838B6"/>
    <w:rPr>
      <w:vertAlign w:val="superscript"/>
    </w:rPr>
  </w:style>
  <w:style w:type="character" w:styleId="Hyperlink">
    <w:name w:val="Hyperlink"/>
    <w:basedOn w:val="Absatz-Standardschriftart"/>
    <w:uiPriority w:val="99"/>
    <w:unhideWhenUsed/>
    <w:rsid w:val="003838B6"/>
    <w:rPr>
      <w:color w:val="0000FF" w:themeColor="hyperlink"/>
      <w:u w:val="single"/>
    </w:rPr>
  </w:style>
  <w:style w:type="character" w:styleId="Kommentarzeichen">
    <w:name w:val="annotation reference"/>
    <w:basedOn w:val="Absatz-Standardschriftart"/>
    <w:uiPriority w:val="99"/>
    <w:semiHidden/>
    <w:unhideWhenUsed/>
    <w:rsid w:val="003838B6"/>
    <w:rPr>
      <w:sz w:val="16"/>
      <w:szCs w:val="16"/>
    </w:rPr>
  </w:style>
  <w:style w:type="paragraph" w:styleId="Kommentartext">
    <w:name w:val="annotation text"/>
    <w:basedOn w:val="Standard"/>
    <w:link w:val="KommentartextZchn"/>
    <w:uiPriority w:val="99"/>
    <w:semiHidden/>
    <w:unhideWhenUsed/>
    <w:rsid w:val="003838B6"/>
    <w:pPr>
      <w:spacing w:before="40" w:after="80" w:line="240" w:lineRule="auto"/>
    </w:pPr>
    <w:rPr>
      <w:sz w:val="20"/>
      <w:szCs w:val="20"/>
    </w:rPr>
  </w:style>
  <w:style w:type="character" w:customStyle="1" w:styleId="KommentartextZchn">
    <w:name w:val="Kommentartext Zchn"/>
    <w:basedOn w:val="Absatz-Standardschriftart"/>
    <w:link w:val="Kommentartext"/>
    <w:uiPriority w:val="99"/>
    <w:semiHidden/>
    <w:rsid w:val="003838B6"/>
    <w:rPr>
      <w:sz w:val="20"/>
      <w:szCs w:val="20"/>
    </w:rPr>
  </w:style>
  <w:style w:type="paragraph" w:styleId="Sprechblasentext">
    <w:name w:val="Balloon Text"/>
    <w:basedOn w:val="Standard"/>
    <w:link w:val="SprechblasentextZchn"/>
    <w:uiPriority w:val="99"/>
    <w:semiHidden/>
    <w:unhideWhenUsed/>
    <w:rsid w:val="003838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38B6"/>
    <w:rPr>
      <w:rFonts w:ascii="Segoe UI" w:hAnsi="Segoe UI" w:cs="Segoe UI"/>
      <w:sz w:val="18"/>
      <w:szCs w:val="18"/>
    </w:rPr>
  </w:style>
  <w:style w:type="character" w:customStyle="1" w:styleId="ListenabsatzZchn">
    <w:name w:val="Listenabsatz Zchn"/>
    <w:aliases w:val="Nummerierung Zchn,Listenabsatz1 Zchn"/>
    <w:basedOn w:val="Absatz-Standardschriftart"/>
    <w:link w:val="Listenabsatz"/>
    <w:uiPriority w:val="34"/>
    <w:rsid w:val="003838B6"/>
  </w:style>
  <w:style w:type="character" w:customStyle="1" w:styleId="berschrift3Zchn">
    <w:name w:val="Überschrift 3 Zchn"/>
    <w:basedOn w:val="Absatz-Standardschriftart"/>
    <w:link w:val="berschrift3"/>
    <w:uiPriority w:val="9"/>
    <w:rsid w:val="00017132"/>
    <w:rPr>
      <w:rFonts w:asciiTheme="majorHAnsi" w:eastAsiaTheme="majorEastAsia" w:hAnsiTheme="majorHAnsi" w:cstheme="majorBidi"/>
      <w:b/>
      <w:color w:val="243F60" w:themeColor="accent1" w:themeShade="7F"/>
      <w:sz w:val="24"/>
      <w:szCs w:val="24"/>
    </w:rPr>
  </w:style>
  <w:style w:type="character" w:styleId="Platzhaltertext">
    <w:name w:val="Placeholder Text"/>
    <w:basedOn w:val="Absatz-Standardschriftart"/>
    <w:uiPriority w:val="99"/>
    <w:semiHidden/>
    <w:rsid w:val="001F6DB1"/>
    <w:rPr>
      <w:color w:val="808080"/>
    </w:rPr>
  </w:style>
  <w:style w:type="table" w:styleId="Tabellenraster">
    <w:name w:val="Table Grid"/>
    <w:basedOn w:val="NormaleTabelle"/>
    <w:uiPriority w:val="59"/>
    <w:unhideWhenUsed/>
    <w:rsid w:val="0088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563E98"/>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63E98"/>
    <w:rPr>
      <w:rFonts w:asciiTheme="majorHAnsi" w:eastAsiaTheme="majorEastAsia" w:hAnsiTheme="majorHAnsi" w:cstheme="majorBidi"/>
      <w:color w:val="17365D" w:themeColor="text2" w:themeShade="BF"/>
      <w:spacing w:val="5"/>
      <w:kern w:val="28"/>
      <w:sz w:val="52"/>
      <w:szCs w:val="52"/>
    </w:rPr>
  </w:style>
  <w:style w:type="paragraph" w:styleId="Verzeichnis1">
    <w:name w:val="toc 1"/>
    <w:basedOn w:val="Standard"/>
    <w:next w:val="Standard"/>
    <w:autoRedefine/>
    <w:uiPriority w:val="39"/>
    <w:unhideWhenUsed/>
    <w:rsid w:val="00D2731D"/>
    <w:pPr>
      <w:spacing w:before="120" w:after="0"/>
      <w:jc w:val="left"/>
    </w:pPr>
    <w:rPr>
      <w:b/>
      <w:bCs/>
      <w:iCs/>
      <w:sz w:val="24"/>
      <w:szCs w:val="24"/>
    </w:rPr>
  </w:style>
  <w:style w:type="paragraph" w:styleId="Verzeichnis2">
    <w:name w:val="toc 2"/>
    <w:basedOn w:val="Standard"/>
    <w:next w:val="Standard"/>
    <w:autoRedefine/>
    <w:uiPriority w:val="39"/>
    <w:unhideWhenUsed/>
    <w:rsid w:val="00D2731D"/>
    <w:pPr>
      <w:spacing w:before="120" w:after="0"/>
      <w:ind w:left="220"/>
      <w:jc w:val="left"/>
    </w:pPr>
    <w:rPr>
      <w:b/>
      <w:bCs/>
    </w:rPr>
  </w:style>
  <w:style w:type="paragraph" w:styleId="Verzeichnis3">
    <w:name w:val="toc 3"/>
    <w:basedOn w:val="Standard"/>
    <w:next w:val="Standard"/>
    <w:autoRedefine/>
    <w:uiPriority w:val="39"/>
    <w:unhideWhenUsed/>
    <w:rsid w:val="00D2731D"/>
    <w:pPr>
      <w:spacing w:after="0"/>
      <w:ind w:left="440"/>
      <w:jc w:val="left"/>
    </w:pPr>
    <w:rPr>
      <w:sz w:val="20"/>
      <w:szCs w:val="20"/>
    </w:rPr>
  </w:style>
  <w:style w:type="paragraph" w:styleId="Verzeichnis4">
    <w:name w:val="toc 4"/>
    <w:basedOn w:val="Standard"/>
    <w:next w:val="Standard"/>
    <w:autoRedefine/>
    <w:uiPriority w:val="39"/>
    <w:unhideWhenUsed/>
    <w:rsid w:val="00D2731D"/>
    <w:pPr>
      <w:spacing w:after="0"/>
      <w:ind w:left="660"/>
      <w:jc w:val="left"/>
    </w:pPr>
    <w:rPr>
      <w:sz w:val="20"/>
      <w:szCs w:val="20"/>
    </w:rPr>
  </w:style>
  <w:style w:type="paragraph" w:styleId="Verzeichnis5">
    <w:name w:val="toc 5"/>
    <w:basedOn w:val="Standard"/>
    <w:next w:val="Standard"/>
    <w:autoRedefine/>
    <w:uiPriority w:val="39"/>
    <w:unhideWhenUsed/>
    <w:rsid w:val="00D2731D"/>
    <w:pPr>
      <w:spacing w:after="0"/>
      <w:ind w:left="880"/>
      <w:jc w:val="left"/>
    </w:pPr>
    <w:rPr>
      <w:sz w:val="20"/>
      <w:szCs w:val="20"/>
    </w:rPr>
  </w:style>
  <w:style w:type="paragraph" w:styleId="Verzeichnis6">
    <w:name w:val="toc 6"/>
    <w:basedOn w:val="Standard"/>
    <w:next w:val="Standard"/>
    <w:autoRedefine/>
    <w:uiPriority w:val="39"/>
    <w:unhideWhenUsed/>
    <w:rsid w:val="00D2731D"/>
    <w:pPr>
      <w:spacing w:after="0"/>
      <w:ind w:left="1100"/>
      <w:jc w:val="left"/>
    </w:pPr>
    <w:rPr>
      <w:sz w:val="20"/>
      <w:szCs w:val="20"/>
    </w:rPr>
  </w:style>
  <w:style w:type="paragraph" w:styleId="Verzeichnis7">
    <w:name w:val="toc 7"/>
    <w:basedOn w:val="Standard"/>
    <w:next w:val="Standard"/>
    <w:autoRedefine/>
    <w:uiPriority w:val="39"/>
    <w:unhideWhenUsed/>
    <w:rsid w:val="00D2731D"/>
    <w:pPr>
      <w:spacing w:after="0"/>
      <w:ind w:left="1320"/>
      <w:jc w:val="left"/>
    </w:pPr>
    <w:rPr>
      <w:sz w:val="20"/>
      <w:szCs w:val="20"/>
    </w:rPr>
  </w:style>
  <w:style w:type="paragraph" w:styleId="Verzeichnis8">
    <w:name w:val="toc 8"/>
    <w:basedOn w:val="Standard"/>
    <w:next w:val="Standard"/>
    <w:autoRedefine/>
    <w:uiPriority w:val="39"/>
    <w:unhideWhenUsed/>
    <w:rsid w:val="00D2731D"/>
    <w:pPr>
      <w:spacing w:after="0"/>
      <w:ind w:left="1540"/>
      <w:jc w:val="left"/>
    </w:pPr>
    <w:rPr>
      <w:sz w:val="20"/>
      <w:szCs w:val="20"/>
    </w:rPr>
  </w:style>
  <w:style w:type="paragraph" w:styleId="Verzeichnis9">
    <w:name w:val="toc 9"/>
    <w:basedOn w:val="Standard"/>
    <w:next w:val="Standard"/>
    <w:autoRedefine/>
    <w:uiPriority w:val="39"/>
    <w:unhideWhenUsed/>
    <w:rsid w:val="00D2731D"/>
    <w:pPr>
      <w:spacing w:after="0"/>
      <w:ind w:left="1760"/>
      <w:jc w:val="left"/>
    </w:pPr>
    <w:rPr>
      <w:sz w:val="20"/>
      <w:szCs w:val="20"/>
    </w:rPr>
  </w:style>
  <w:style w:type="paragraph" w:styleId="Kopfzeile">
    <w:name w:val="header"/>
    <w:basedOn w:val="Standard"/>
    <w:link w:val="KopfzeileZchn"/>
    <w:uiPriority w:val="99"/>
    <w:unhideWhenUsed/>
    <w:rsid w:val="00D273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31D"/>
  </w:style>
  <w:style w:type="paragraph" w:styleId="Fuzeile">
    <w:name w:val="footer"/>
    <w:basedOn w:val="Standard"/>
    <w:link w:val="FuzeileZchn"/>
    <w:uiPriority w:val="99"/>
    <w:unhideWhenUsed/>
    <w:rsid w:val="00D273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31D"/>
  </w:style>
  <w:style w:type="character" w:customStyle="1" w:styleId="berschrift4Zchn">
    <w:name w:val="Überschrift 4 Zchn"/>
    <w:basedOn w:val="Absatz-Standardschriftart"/>
    <w:link w:val="berschrift4"/>
    <w:uiPriority w:val="9"/>
    <w:semiHidden/>
    <w:rsid w:val="00FD56B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D56B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D56B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D56B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D56B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D56B2"/>
    <w:rPr>
      <w:rFonts w:asciiTheme="majorHAnsi" w:eastAsiaTheme="majorEastAsia" w:hAnsiTheme="majorHAnsi" w:cstheme="majorBidi"/>
      <w:i/>
      <w:iCs/>
      <w:color w:val="404040" w:themeColor="text1" w:themeTint="BF"/>
      <w:sz w:val="20"/>
      <w:szCs w:val="20"/>
    </w:rPr>
  </w:style>
  <w:style w:type="paragraph" w:styleId="Kommentarthema">
    <w:name w:val="annotation subject"/>
    <w:basedOn w:val="Kommentartext"/>
    <w:next w:val="Kommentartext"/>
    <w:link w:val="KommentarthemaZchn"/>
    <w:uiPriority w:val="99"/>
    <w:semiHidden/>
    <w:unhideWhenUsed/>
    <w:rsid w:val="00692F51"/>
    <w:pPr>
      <w:spacing w:before="0" w:after="200"/>
    </w:pPr>
    <w:rPr>
      <w:b/>
      <w:bCs/>
    </w:rPr>
  </w:style>
  <w:style w:type="character" w:customStyle="1" w:styleId="KommentarthemaZchn">
    <w:name w:val="Kommentarthema Zchn"/>
    <w:basedOn w:val="KommentartextZchn"/>
    <w:link w:val="Kommentarthema"/>
    <w:uiPriority w:val="99"/>
    <w:semiHidden/>
    <w:rsid w:val="00692F51"/>
    <w:rPr>
      <w:b/>
      <w:bCs/>
      <w:sz w:val="20"/>
      <w:szCs w:val="20"/>
    </w:rPr>
  </w:style>
  <w:style w:type="paragraph" w:styleId="berarbeitung">
    <w:name w:val="Revision"/>
    <w:hidden/>
    <w:uiPriority w:val="99"/>
    <w:semiHidden/>
    <w:rsid w:val="00BA7C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bvdnet.de/wp-content/uploads/2017/08/BvD-News_2_2017_web.pdf" TargetMode="External"/><Relationship Id="rId26" Type="http://schemas.openxmlformats.org/officeDocument/2006/relationships/hyperlink" Target="http://www.isaca.org/Education/on-demand-learning/Pages/default.asp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ocialmediarecht.de/2017/01/24/die-datenschutzgrundverordnung-macht-it-richtlinien-feuer-unter-dem-hintern-teil-7-oder-was-die-dsgvo-mit-it-richtlinien-arbeitsrecht-und-compliance-zu-tun-hat-und-warum-das-jetzt-fuer-unterneh/" TargetMode="External"/><Relationship Id="rId34" Type="http://schemas.openxmlformats.org/officeDocument/2006/relationships/hyperlink" Target="https://www.bsi.bund.de/DE/Publikationen/Studien/ITIL/index_htm.html"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isaca.de/" TargetMode="External"/><Relationship Id="rId33" Type="http://schemas.openxmlformats.org/officeDocument/2006/relationships/hyperlink" Target="http://wiki.de.it-processmaps.com/index.php/Hauptseit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lda.bayern.de/media/baylda_ds-gvo_1_security.pdf" TargetMode="External"/><Relationship Id="rId29" Type="http://schemas.openxmlformats.org/officeDocument/2006/relationships/hyperlink" Target="https://www.idw.de/idw/im-fokus/idw-pruefungsnavigator/idw-pruefungsnavigator-grundversion---zip-datei/28246"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s://www.isaca.org/COBIT/Pages/default.aspx" TargetMode="External"/><Relationship Id="rId32" Type="http://schemas.openxmlformats.org/officeDocument/2006/relationships/hyperlink" Target="https://www.bsi.bund.de/DE/Themen/ITGrundschutz/ITGrundschutzKataloge/itgrundschutzkataloge_node.html" TargetMode="External"/><Relationship Id="rId37"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datenschutz.rlp.de/de/themenfelder-themen/sicherheit-der-verarbeitung-nach-dsgvo/" TargetMode="External"/><Relationship Id="rId28" Type="http://schemas.openxmlformats.org/officeDocument/2006/relationships/hyperlink" Target="https://shop.idw-verlag.de/product.idw?product=20068" TargetMode="External"/><Relationship Id="rId36"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hyperlink" Target="https://www.bvdnet.de/fileadmin/BvD_eV/BvDNews/17_BvDNews17-1.pdf" TargetMode="External"/><Relationship Id="rId31" Type="http://schemas.openxmlformats.org/officeDocument/2006/relationships/hyperlink" Target="https://www.axelos.com/best-practice-solutions/iti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www.datenschutz.rlp.de/fileadmin/lfdi/Dokumente/Praesentation_Sicherheit_der_Verarbeitung_nach_der_EU_DSGVO.pdf" TargetMode="External"/><Relationship Id="rId27" Type="http://schemas.openxmlformats.org/officeDocument/2006/relationships/hyperlink" Target="https://www.isaca.org/ecommerce/Pages/vCampusLogin.aspx?returnurl=/ecommerce/Pages/ProcessLogin.aspx?vt=2" TargetMode="External"/><Relationship Id="rId30" Type="http://schemas.openxmlformats.org/officeDocument/2006/relationships/hyperlink" Target="https://www.idw.de/blob/87038/eac3b57db3b9a8c8a8bb1417fa1ba1bc/down-it-au-richtlinie-data.pdf" TargetMode="External"/><Relationship Id="rId35" Type="http://schemas.openxmlformats.org/officeDocument/2006/relationships/hyperlink" Target="https://www.itil.d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quality.de/fmea-fehlermoeglichkeits-einflussanalyse/" TargetMode="External"/><Relationship Id="rId3" Type="http://schemas.openxmlformats.org/officeDocument/2006/relationships/hyperlink" Target="http://wirtschaftslexikon.gabler.de/Definition/delphi-technik.html" TargetMode="External"/><Relationship Id="rId7" Type="http://schemas.openxmlformats.org/officeDocument/2006/relationships/hyperlink" Target="https://www.qz-online.de/qualitaets-management/qm-basics/methoden/fmea/artikel/grundlagen-der-fehlermoeglichkeits-und-einfluss-analyse-903982.html" TargetMode="External"/><Relationship Id="rId12" Type="http://schemas.openxmlformats.org/officeDocument/2006/relationships/hyperlink" Target="https://de.wikipedia.org/wiki/Resilienz_(Ingenieurwissenschaften)" TargetMode="External"/><Relationship Id="rId2" Type="http://schemas.openxmlformats.org/officeDocument/2006/relationships/hyperlink" Target="http://www.adrianmizzi.com/ROISI-Paper.pdf" TargetMode="External"/><Relationship Id="rId1" Type="http://schemas.openxmlformats.org/officeDocument/2006/relationships/hyperlink" Target="https://dip21.bundestag.de/dip21/btd/18/040/1804096.pdf" TargetMode="External"/><Relationship Id="rId6" Type="http://schemas.openxmlformats.org/officeDocument/2006/relationships/hyperlink" Target="https://www.dgq.de/produkte/fmea-fehlermoeglichkeits-und-einflussanalyse/" TargetMode="External"/><Relationship Id="rId11" Type="http://schemas.openxmlformats.org/officeDocument/2006/relationships/hyperlink" Target="https://pdfs.semanticscholar.org/f72b/610fb2d1ae28ba22ec04d54a9b8f6635e565.pdf" TargetMode="External"/><Relationship Id="rId5" Type="http://schemas.openxmlformats.org/officeDocument/2006/relationships/hyperlink" Target="https://de.wikipedia.org/wiki/Delphi-Methode" TargetMode="External"/><Relationship Id="rId10" Type="http://schemas.openxmlformats.org/officeDocument/2006/relationships/hyperlink" Target="https://www.bundesnetzagentur.de/DE/Service-Funktionen/ElektronischeVertrauensdienste/QES/WelcheAufgabenhatdieBundesnetzagentur/GeeigneteAlgorithmenfestlegen/geeignetealgorithmenfestlegen_node.html" TargetMode="External"/><Relationship Id="rId4" Type="http://schemas.openxmlformats.org/officeDocument/2006/relationships/hyperlink" Target="http://qsf.e-learning.imb-uni-augsburg.de/node/542" TargetMode="External"/><Relationship Id="rId9" Type="http://schemas.openxmlformats.org/officeDocument/2006/relationships/hyperlink" Target="https://www.bsi.bund.de/DE/Publikationen/TechnischeRichtlinien/tr02102/index_htm.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38AB6-C784-402F-B33B-207CDC7D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10979</Words>
  <Characters>76856</Characters>
  <Application>Microsoft Office Word</Application>
  <DocSecurity>0</DocSecurity>
  <Lines>1670</Lines>
  <Paragraphs>934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Sicherheit personenbezogener Daten: Umgang mit Art. 32 DS-GVO</vt:lpstr>
      <vt:lpstr/>
    </vt:vector>
  </TitlesOfParts>
  <Manager>Dr. Bernd Schütze</Manager>
  <Company>bvitg e.V., GMDS e.V.</Company>
  <LinksUpToDate>false</LinksUpToDate>
  <CharactersWithSpaces>86901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 personenbezogener Daten: Umgang mit Art. 32 DS-GVO</dc:title>
  <dc:subject>DS-GVO und die Sicherheit der Verarbeitung</dc:subject>
  <dc:creator>Gemeinsame Arbeitsgruppe von bvitg und GMDS</dc:creator>
  <cp:keywords>Datenschutz-Grundverordnung, DS-GVO, Sicherheit der Verarbeitung</cp:keywords>
  <cp:lastModifiedBy>Bernd Schütze</cp:lastModifiedBy>
  <cp:revision>9</cp:revision>
  <dcterms:created xsi:type="dcterms:W3CDTF">2018-02-05T08:05:00Z</dcterms:created>
  <dcterms:modified xsi:type="dcterms:W3CDTF">2018-04-01T07:17:00Z</dcterms:modified>
</cp:coreProperties>
</file>